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F7528" w:rsidRDefault="00B72322" w:rsidP="000E7C2C">
      <w:pPr>
        <w:spacing w:before="240" w:after="240" w:line="360" w:lineRule="auto"/>
        <w:jc w:val="both"/>
        <w:rPr>
          <w:rFonts w:ascii="Palatino Linotype" w:hAnsi="Palatino Linotype"/>
          <w:b/>
        </w:rPr>
      </w:pPr>
      <w:r w:rsidRPr="00FF7528">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FF7528">
        <w:rPr>
          <w:rFonts w:ascii="Palatino Linotype" w:hAnsi="Palatino Linotype"/>
          <w:b/>
        </w:rPr>
        <w:t xml:space="preserve">VOTO PARTICULAR </w:t>
      </w:r>
      <w:r w:rsidR="00551987" w:rsidRPr="00FF7528">
        <w:rPr>
          <w:rFonts w:ascii="Palatino Linotype" w:hAnsi="Palatino Linotype"/>
          <w:b/>
        </w:rPr>
        <w:t>QUE</w:t>
      </w:r>
      <w:r w:rsidR="003E5641" w:rsidRPr="00FF7528">
        <w:rPr>
          <w:rFonts w:ascii="Palatino Linotype" w:hAnsi="Palatino Linotype"/>
          <w:b/>
        </w:rPr>
        <w:t xml:space="preserve"> FORMULA</w:t>
      </w:r>
      <w:r w:rsidR="00551987" w:rsidRPr="00FF7528">
        <w:rPr>
          <w:rFonts w:ascii="Palatino Linotype" w:hAnsi="Palatino Linotype"/>
          <w:b/>
        </w:rPr>
        <w:t xml:space="preserve"> </w:t>
      </w:r>
      <w:r w:rsidR="003E5641" w:rsidRPr="00FF7528">
        <w:rPr>
          <w:rFonts w:ascii="Palatino Linotype" w:hAnsi="Palatino Linotype"/>
          <w:b/>
        </w:rPr>
        <w:t>EL COMISIONADO JAVIER MARTÍNEZ CRUZ</w:t>
      </w:r>
      <w:r w:rsidR="00551987" w:rsidRPr="00FF7528">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EA52DE" w:rsidRPr="00FF7528">
        <w:rPr>
          <w:rFonts w:ascii="Palatino Linotype" w:hAnsi="Palatino Linotype"/>
          <w:b/>
        </w:rPr>
        <w:t>TRIGÉSIM</w:t>
      </w:r>
      <w:r w:rsidR="002C1485" w:rsidRPr="00FF7528">
        <w:rPr>
          <w:rFonts w:ascii="Palatino Linotype" w:hAnsi="Palatino Linotype"/>
          <w:b/>
        </w:rPr>
        <w:t>A</w:t>
      </w:r>
      <w:r w:rsidR="00EA52DE" w:rsidRPr="00FF7528">
        <w:rPr>
          <w:rFonts w:ascii="Palatino Linotype" w:hAnsi="Palatino Linotype"/>
          <w:b/>
        </w:rPr>
        <w:t xml:space="preserve"> </w:t>
      </w:r>
      <w:r w:rsidR="00371AFE" w:rsidRPr="00FF7528">
        <w:rPr>
          <w:rFonts w:ascii="Palatino Linotype" w:hAnsi="Palatino Linotype"/>
          <w:b/>
        </w:rPr>
        <w:t>SÉPTIMA</w:t>
      </w:r>
      <w:r w:rsidR="00EA52DE" w:rsidRPr="00FF7528">
        <w:rPr>
          <w:rFonts w:ascii="Palatino Linotype" w:hAnsi="Palatino Linotype"/>
          <w:b/>
        </w:rPr>
        <w:t xml:space="preserve"> </w:t>
      </w:r>
      <w:r w:rsidR="0022313A" w:rsidRPr="00FF7528">
        <w:rPr>
          <w:rFonts w:ascii="Palatino Linotype" w:hAnsi="Palatino Linotype"/>
          <w:b/>
        </w:rPr>
        <w:t>S</w:t>
      </w:r>
      <w:r w:rsidR="00551987" w:rsidRPr="00FF7528">
        <w:rPr>
          <w:rFonts w:ascii="Palatino Linotype" w:hAnsi="Palatino Linotype"/>
          <w:b/>
        </w:rPr>
        <w:t>ES</w:t>
      </w:r>
      <w:r w:rsidR="00952FDA" w:rsidRPr="00FF7528">
        <w:rPr>
          <w:rFonts w:ascii="Palatino Linotype" w:hAnsi="Palatino Linotype"/>
          <w:b/>
        </w:rPr>
        <w:t xml:space="preserve">IÓN ORDINARIA DEL </w:t>
      </w:r>
      <w:r w:rsidR="00371AFE" w:rsidRPr="00FF7528">
        <w:rPr>
          <w:rFonts w:ascii="Palatino Linotype" w:hAnsi="Palatino Linotype"/>
          <w:b/>
        </w:rPr>
        <w:t>DIEZ DE OCTUBRE</w:t>
      </w:r>
      <w:r w:rsidR="00551987" w:rsidRPr="00FF7528">
        <w:rPr>
          <w:rFonts w:ascii="Palatino Linotype" w:hAnsi="Palatino Linotype"/>
          <w:b/>
        </w:rPr>
        <w:t xml:space="preserve"> DE DOS MIL DIECIOCHO, EN</w:t>
      </w:r>
      <w:r w:rsidR="00AA742A" w:rsidRPr="00FF7528">
        <w:rPr>
          <w:rFonts w:ascii="Palatino Linotype" w:hAnsi="Palatino Linotype"/>
          <w:b/>
        </w:rPr>
        <w:t xml:space="preserve"> EL </w:t>
      </w:r>
      <w:r w:rsidR="00551987" w:rsidRPr="00FF7528">
        <w:rPr>
          <w:rFonts w:ascii="Palatino Linotype" w:hAnsi="Palatino Linotype"/>
          <w:b/>
        </w:rPr>
        <w:t xml:space="preserve">RECURSO DE REVISIÓN </w:t>
      </w:r>
      <w:r w:rsidR="00371AFE" w:rsidRPr="00FF7528">
        <w:rPr>
          <w:rFonts w:ascii="Palatino Linotype" w:hAnsi="Palatino Linotype"/>
          <w:b/>
          <w:bCs/>
        </w:rPr>
        <w:t>03078</w:t>
      </w:r>
      <w:r w:rsidR="00EA52DE" w:rsidRPr="00FF7528">
        <w:rPr>
          <w:rFonts w:ascii="Palatino Linotype" w:hAnsi="Palatino Linotype"/>
          <w:b/>
          <w:bCs/>
        </w:rPr>
        <w:t>/INFOEM/IP/RR/2018.</w:t>
      </w:r>
    </w:p>
    <w:p w:rsidR="00551987" w:rsidRPr="00FF7528" w:rsidRDefault="00B72322" w:rsidP="000E7C2C">
      <w:pPr>
        <w:spacing w:before="240" w:after="240" w:line="360" w:lineRule="auto"/>
        <w:jc w:val="both"/>
        <w:rPr>
          <w:rFonts w:ascii="Palatino Linotype" w:hAnsi="Palatino Linotype"/>
        </w:rPr>
      </w:pPr>
      <w:r w:rsidRPr="00FF7528">
        <w:rPr>
          <w:rFonts w:ascii="Palatino Linotype" w:hAnsi="Palatino Linotype"/>
        </w:rPr>
        <w:t>El Pleno del Instituto de Transparencia, Acceso a la Información Pública y Protección de Datos Personales del Estado de México resolvió por unanimidad de voto</w:t>
      </w:r>
      <w:r w:rsidR="007B3391" w:rsidRPr="00FF7528">
        <w:rPr>
          <w:rFonts w:ascii="Palatino Linotype" w:hAnsi="Palatino Linotype"/>
        </w:rPr>
        <w:t>s,</w:t>
      </w:r>
      <w:r w:rsidR="0043077C" w:rsidRPr="00FF7528">
        <w:rPr>
          <w:rFonts w:ascii="Palatino Linotype" w:hAnsi="Palatino Linotype"/>
        </w:rPr>
        <w:t xml:space="preserve"> la resolución relativa a</w:t>
      </w:r>
      <w:r w:rsidR="00CA4DC5" w:rsidRPr="00FF7528">
        <w:rPr>
          <w:rFonts w:ascii="Palatino Linotype" w:hAnsi="Palatino Linotype"/>
        </w:rPr>
        <w:t xml:space="preserve">l </w:t>
      </w:r>
      <w:r w:rsidRPr="00FF7528">
        <w:rPr>
          <w:rFonts w:ascii="Palatino Linotype" w:hAnsi="Palatino Linotype"/>
        </w:rPr>
        <w:t xml:space="preserve">recurso de revisión </w:t>
      </w:r>
      <w:r w:rsidR="003E5641" w:rsidRPr="00FF7528">
        <w:rPr>
          <w:rFonts w:ascii="Palatino Linotype" w:hAnsi="Palatino Linotype" w:cs="Arial"/>
          <w:b/>
          <w:bCs/>
          <w:lang w:eastAsia="es-MX"/>
        </w:rPr>
        <w:t>0</w:t>
      </w:r>
      <w:r w:rsidR="00371AFE" w:rsidRPr="00FF7528">
        <w:rPr>
          <w:rFonts w:ascii="Palatino Linotype" w:hAnsi="Palatino Linotype" w:cs="Arial"/>
          <w:b/>
          <w:bCs/>
          <w:lang w:eastAsia="es-MX"/>
        </w:rPr>
        <w:t>3078</w:t>
      </w:r>
      <w:r w:rsidR="007B3391" w:rsidRPr="00FF7528">
        <w:rPr>
          <w:rFonts w:ascii="Palatino Linotype" w:hAnsi="Palatino Linotype" w:cs="Arial"/>
          <w:b/>
          <w:bCs/>
          <w:lang w:eastAsia="es-MX"/>
        </w:rPr>
        <w:t>/INFOEM/IP/RR/2018</w:t>
      </w:r>
      <w:r w:rsidR="00EA52DE" w:rsidRPr="00FF7528">
        <w:rPr>
          <w:rFonts w:ascii="Palatino Linotype" w:hAnsi="Palatino Linotype" w:cs="Arial"/>
          <w:b/>
          <w:bCs/>
          <w:lang w:eastAsia="es-MX"/>
        </w:rPr>
        <w:t xml:space="preserve">, </w:t>
      </w:r>
      <w:r w:rsidRPr="00FF7528">
        <w:rPr>
          <w:rFonts w:ascii="Palatino Linotype" w:hAnsi="Palatino Linotype"/>
        </w:rPr>
        <w:t xml:space="preserve">presentada por </w:t>
      </w:r>
      <w:r w:rsidR="00371AFE" w:rsidRPr="00FF7528">
        <w:rPr>
          <w:rFonts w:ascii="Palatino Linotype" w:hAnsi="Palatino Linotype"/>
        </w:rPr>
        <w:t>el</w:t>
      </w:r>
      <w:r w:rsidR="00A5140D" w:rsidRPr="00FF7528">
        <w:rPr>
          <w:rFonts w:ascii="Palatino Linotype" w:hAnsi="Palatino Linotype"/>
        </w:rPr>
        <w:t xml:space="preserve"> Comisionad</w:t>
      </w:r>
      <w:r w:rsidR="00371AFE" w:rsidRPr="00FF7528">
        <w:rPr>
          <w:rFonts w:ascii="Palatino Linotype" w:hAnsi="Palatino Linotype"/>
        </w:rPr>
        <w:t>o</w:t>
      </w:r>
      <w:r w:rsidRPr="00FF7528">
        <w:rPr>
          <w:rFonts w:ascii="Palatino Linotype" w:hAnsi="Palatino Linotype"/>
        </w:rPr>
        <w:t xml:space="preserve"> </w:t>
      </w:r>
      <w:r w:rsidR="00371AFE" w:rsidRPr="00FF7528">
        <w:rPr>
          <w:rFonts w:ascii="Palatino Linotype" w:hAnsi="Palatino Linotype"/>
        </w:rPr>
        <w:t>José Guadalupe Luna Hernández</w:t>
      </w:r>
      <w:r w:rsidRPr="00FF7528">
        <w:rPr>
          <w:rFonts w:ascii="Palatino Linotype" w:hAnsi="Palatino Linotype"/>
        </w:rPr>
        <w:t xml:space="preserve">, </w:t>
      </w:r>
      <w:r w:rsidR="003E5641" w:rsidRPr="00FF7528">
        <w:rPr>
          <w:rFonts w:ascii="Palatino Linotype" w:hAnsi="Palatino Linotype"/>
        </w:rPr>
        <w:t xml:space="preserve">respecto de la cual el Comisionado Javier Martínez Cruz emite </w:t>
      </w:r>
      <w:r w:rsidR="003E5641" w:rsidRPr="00FF7528">
        <w:rPr>
          <w:rFonts w:ascii="Palatino Linotype" w:hAnsi="Palatino Linotype"/>
          <w:b/>
        </w:rPr>
        <w:t>VOTO PARTICULAR</w:t>
      </w:r>
      <w:r w:rsidR="00551987" w:rsidRPr="00FF7528">
        <w:rPr>
          <w:rFonts w:ascii="Palatino Linotype" w:hAnsi="Palatino Linotype"/>
        </w:rPr>
        <w:t>, con fundamento en el artículo 14 fracción XI del Reglamento del Instituto de Transparencia, Acceso a la Información Pública y Protección de Personales Datos del Estado de México.</w:t>
      </w:r>
    </w:p>
    <w:p w:rsidR="00371AFE" w:rsidRPr="00FF7528" w:rsidRDefault="00B72322" w:rsidP="000E7C2C">
      <w:pPr>
        <w:spacing w:before="240" w:after="240" w:line="360" w:lineRule="auto"/>
        <w:jc w:val="both"/>
        <w:rPr>
          <w:rFonts w:ascii="Palatino Linotype" w:hAnsi="Palatino Linotype"/>
          <w:color w:val="000000"/>
        </w:rPr>
      </w:pPr>
      <w:r w:rsidRPr="00FF7528">
        <w:rPr>
          <w:rFonts w:ascii="Palatino Linotype" w:hAnsi="Palatino Linotype"/>
        </w:rPr>
        <w:t>De manera previa a la</w:t>
      </w:r>
      <w:r w:rsidR="002251C2" w:rsidRPr="00FF7528">
        <w:rPr>
          <w:rFonts w:ascii="Palatino Linotype" w:hAnsi="Palatino Linotype"/>
        </w:rPr>
        <w:t xml:space="preserve"> emisión del presente voto, se debe</w:t>
      </w:r>
      <w:r w:rsidRPr="00FF7528">
        <w:rPr>
          <w:rFonts w:ascii="Palatino Linotype" w:hAnsi="Palatino Linotype"/>
        </w:rPr>
        <w:t xml:space="preserve"> precisar</w:t>
      </w:r>
      <w:r w:rsidR="009B5C84" w:rsidRPr="00FF7528">
        <w:rPr>
          <w:rFonts w:ascii="Palatino Linotype" w:hAnsi="Palatino Linotype"/>
        </w:rPr>
        <w:t xml:space="preserve"> </w:t>
      </w:r>
      <w:r w:rsidR="00CA4DC5" w:rsidRPr="00FF7528">
        <w:rPr>
          <w:rFonts w:ascii="Palatino Linotype" w:hAnsi="Palatino Linotype"/>
        </w:rPr>
        <w:t>la materia en que radicó el</w:t>
      </w:r>
      <w:r w:rsidR="009B5C84" w:rsidRPr="00FF7528">
        <w:rPr>
          <w:rFonts w:ascii="Palatino Linotype" w:hAnsi="Palatino Linotype"/>
        </w:rPr>
        <w:t xml:space="preserve"> recurso</w:t>
      </w:r>
      <w:r w:rsidR="003D235F" w:rsidRPr="00FF7528">
        <w:rPr>
          <w:rFonts w:ascii="Palatino Linotype" w:hAnsi="Palatino Linotype"/>
        </w:rPr>
        <w:t xml:space="preserve"> de revisión,</w:t>
      </w:r>
      <w:r w:rsidR="002251C2" w:rsidRPr="00FF7528">
        <w:rPr>
          <w:rFonts w:ascii="Palatino Linotype" w:hAnsi="Palatino Linotype"/>
        </w:rPr>
        <w:t xml:space="preserve"> </w:t>
      </w:r>
      <w:r w:rsidR="003636A3" w:rsidRPr="00FF7528">
        <w:rPr>
          <w:rFonts w:ascii="Palatino Linotype" w:hAnsi="Palatino Linotype"/>
        </w:rPr>
        <w:t xml:space="preserve">lo fue en que </w:t>
      </w:r>
      <w:r w:rsidR="00371AFE" w:rsidRPr="00FF7528">
        <w:rPr>
          <w:rFonts w:ascii="Palatino Linotype" w:hAnsi="Palatino Linotype"/>
        </w:rPr>
        <w:t xml:space="preserve">la </w:t>
      </w:r>
      <w:r w:rsidR="00CA4DC5" w:rsidRPr="00FF7528">
        <w:rPr>
          <w:rFonts w:ascii="Palatino Linotype" w:hAnsi="Palatino Linotype"/>
        </w:rPr>
        <w:t>Secretaría de</w:t>
      </w:r>
      <w:r w:rsidR="00371AFE" w:rsidRPr="00FF7528">
        <w:rPr>
          <w:rFonts w:ascii="Palatino Linotype" w:hAnsi="Palatino Linotype"/>
        </w:rPr>
        <w:t xml:space="preserve"> la Contraloría</w:t>
      </w:r>
      <w:r w:rsidR="003636A3" w:rsidRPr="00FF7528">
        <w:rPr>
          <w:rFonts w:ascii="Palatino Linotype" w:hAnsi="Palatino Linotype"/>
        </w:rPr>
        <w:t xml:space="preserve"> proporcionara </w:t>
      </w:r>
      <w:r w:rsidR="00CA4DC5" w:rsidRPr="00FF7528">
        <w:rPr>
          <w:rFonts w:ascii="Palatino Linotype" w:hAnsi="Palatino Linotype"/>
        </w:rPr>
        <w:t>e</w:t>
      </w:r>
      <w:r w:rsidR="00CA4DC5" w:rsidRPr="00FF7528">
        <w:rPr>
          <w:rFonts w:ascii="Palatino Linotype" w:hAnsi="Palatino Linotype"/>
          <w:color w:val="000000"/>
        </w:rPr>
        <w:t>l documento</w:t>
      </w:r>
      <w:r w:rsidR="00371AFE" w:rsidRPr="00FF7528">
        <w:rPr>
          <w:rFonts w:ascii="Palatino Linotype" w:hAnsi="Palatino Linotype"/>
          <w:color w:val="000000"/>
        </w:rPr>
        <w:t xml:space="preserve"> en el que se advirtiera la Declaración de Conclusión del Encargo del servidor público que ocupo el cargo de Director de Gobierno Digital adscrito al Ayuntamiento de Naucalpan</w:t>
      </w:r>
      <w:r w:rsidR="00012065" w:rsidRPr="00FF7528">
        <w:rPr>
          <w:rFonts w:ascii="Palatino Linotype" w:hAnsi="Palatino Linotype"/>
          <w:color w:val="000000"/>
        </w:rPr>
        <w:t xml:space="preserve"> de Juárez, Estado de México en el periodo administrativo de 2015-2018</w:t>
      </w:r>
      <w:r w:rsidR="00371AFE" w:rsidRPr="00FF7528">
        <w:rPr>
          <w:rFonts w:ascii="Palatino Linotype" w:hAnsi="Palatino Linotype"/>
          <w:color w:val="000000"/>
        </w:rPr>
        <w:t>.</w:t>
      </w:r>
    </w:p>
    <w:p w:rsidR="00935E90" w:rsidRPr="00FF7528" w:rsidRDefault="003636A3" w:rsidP="000E7C2C">
      <w:pPr>
        <w:spacing w:before="240" w:after="240" w:line="360" w:lineRule="auto"/>
        <w:jc w:val="both"/>
        <w:rPr>
          <w:rFonts w:ascii="Palatino Linotype" w:hAnsi="Palatino Linotype"/>
        </w:rPr>
      </w:pPr>
      <w:r w:rsidRPr="00FF7528">
        <w:rPr>
          <w:rFonts w:ascii="Palatino Linotype" w:hAnsi="Palatino Linotype"/>
        </w:rPr>
        <w:t>En respuesta,</w:t>
      </w:r>
      <w:r w:rsidR="00303E34" w:rsidRPr="00FF7528">
        <w:rPr>
          <w:rFonts w:ascii="Palatino Linotype" w:hAnsi="Palatino Linotype"/>
        </w:rPr>
        <w:t xml:space="preserve"> el Responsable de la</w:t>
      </w:r>
      <w:r w:rsidR="00F44F60" w:rsidRPr="00FF7528">
        <w:rPr>
          <w:rFonts w:ascii="Palatino Linotype" w:hAnsi="Palatino Linotype"/>
        </w:rPr>
        <w:t xml:space="preserve"> Unidad de </w:t>
      </w:r>
      <w:r w:rsidR="00303E34" w:rsidRPr="00FF7528">
        <w:rPr>
          <w:rFonts w:ascii="Palatino Linotype" w:hAnsi="Palatino Linotype"/>
        </w:rPr>
        <w:t>Transparencia</w:t>
      </w:r>
      <w:r w:rsidR="00F44F60" w:rsidRPr="00FF7528">
        <w:rPr>
          <w:rFonts w:ascii="Palatino Linotype" w:hAnsi="Palatino Linotype"/>
        </w:rPr>
        <w:t>,</w:t>
      </w:r>
      <w:r w:rsidR="00012065" w:rsidRPr="00FF7528">
        <w:rPr>
          <w:rFonts w:ascii="Palatino Linotype" w:hAnsi="Palatino Linotype"/>
        </w:rPr>
        <w:t xml:space="preserve"> </w:t>
      </w:r>
      <w:r w:rsidR="00B345A3" w:rsidRPr="00FF7528">
        <w:rPr>
          <w:rFonts w:ascii="Palatino Linotype" w:hAnsi="Palatino Linotype"/>
        </w:rPr>
        <w:t xml:space="preserve">informó al particular </w:t>
      </w:r>
      <w:r w:rsidR="00935E90" w:rsidRPr="00FF7528">
        <w:rPr>
          <w:rFonts w:ascii="Palatino Linotype" w:hAnsi="Palatino Linotype"/>
        </w:rPr>
        <w:t>que el Comité de Transparencia de la Secretaría de la Contralor</w:t>
      </w:r>
      <w:r w:rsidR="004542D4" w:rsidRPr="00FF7528">
        <w:rPr>
          <w:rFonts w:ascii="Palatino Linotype" w:hAnsi="Palatino Linotype"/>
        </w:rPr>
        <w:t xml:space="preserve">ía determinó que no es procedente entregar la información en los términos solicitados, por tratarse de información clasificada como confidencial, adjuntando en el acto </w:t>
      </w:r>
      <w:r w:rsidR="00B76AA4" w:rsidRPr="00FF7528">
        <w:rPr>
          <w:rFonts w:ascii="Palatino Linotype" w:hAnsi="Palatino Linotype"/>
        </w:rPr>
        <w:t>la resolución, derivada del acuerdo número ACT/SECOGEM/COMT/11ª</w:t>
      </w:r>
      <w:r w:rsidR="007145C7" w:rsidRPr="00FF7528">
        <w:rPr>
          <w:rFonts w:ascii="Palatino Linotype" w:hAnsi="Palatino Linotype"/>
        </w:rPr>
        <w:t xml:space="preserve">/2018/TERCERO, asimismo, remitió oficio </w:t>
      </w:r>
      <w:r w:rsidR="006D42E5" w:rsidRPr="00FF7528">
        <w:rPr>
          <w:rFonts w:ascii="Palatino Linotype" w:hAnsi="Palatino Linotype"/>
        </w:rPr>
        <w:t xml:space="preserve">generado por el </w:t>
      </w:r>
      <w:r w:rsidR="006D42E5" w:rsidRPr="00FF7528">
        <w:rPr>
          <w:rFonts w:ascii="Palatino Linotype" w:hAnsi="Palatino Linotype"/>
        </w:rPr>
        <w:lastRenderedPageBreak/>
        <w:t xml:space="preserve">Servidor Público Habilitado de la </w:t>
      </w:r>
      <w:r w:rsidR="007145C7" w:rsidRPr="00FF7528">
        <w:rPr>
          <w:rFonts w:ascii="Palatino Linotype" w:hAnsi="Palatino Linotype"/>
        </w:rPr>
        <w:t>Direc</w:t>
      </w:r>
      <w:r w:rsidR="006D42E5" w:rsidRPr="00FF7528">
        <w:rPr>
          <w:rFonts w:ascii="Palatino Linotype" w:hAnsi="Palatino Linotype"/>
        </w:rPr>
        <w:t xml:space="preserve">ción </w:t>
      </w:r>
      <w:r w:rsidR="007145C7" w:rsidRPr="00FF7528">
        <w:rPr>
          <w:rFonts w:ascii="Palatino Linotype" w:hAnsi="Palatino Linotype"/>
        </w:rPr>
        <w:t xml:space="preserve"> General de Responsabilidades </w:t>
      </w:r>
      <w:r w:rsidR="006D42E5" w:rsidRPr="00FF7528">
        <w:rPr>
          <w:rFonts w:ascii="Palatino Linotype" w:hAnsi="Palatino Linotype"/>
        </w:rPr>
        <w:t>Administrativas, quien</w:t>
      </w:r>
      <w:r w:rsidR="00C84367" w:rsidRPr="00FF7528">
        <w:rPr>
          <w:rFonts w:ascii="Palatino Linotype" w:hAnsi="Palatino Linotype"/>
        </w:rPr>
        <w:t xml:space="preserve"> </w:t>
      </w:r>
      <w:r w:rsidR="006D42E5" w:rsidRPr="00FF7528">
        <w:rPr>
          <w:rFonts w:ascii="Palatino Linotype" w:hAnsi="Palatino Linotype"/>
        </w:rPr>
        <w:t xml:space="preserve">refirió que </w:t>
      </w:r>
      <w:r w:rsidR="00C84367" w:rsidRPr="00FF7528">
        <w:rPr>
          <w:rFonts w:ascii="Palatino Linotype" w:hAnsi="Palatino Linotype"/>
        </w:rPr>
        <w:t>no se localiz</w:t>
      </w:r>
      <w:r w:rsidR="008E4F87" w:rsidRPr="00FF7528">
        <w:rPr>
          <w:rFonts w:ascii="Palatino Linotype" w:hAnsi="Palatino Linotype"/>
        </w:rPr>
        <w:t>ó una versión pú</w:t>
      </w:r>
      <w:r w:rsidR="00C84367" w:rsidRPr="00FF7528">
        <w:rPr>
          <w:rFonts w:ascii="Palatino Linotype" w:hAnsi="Palatino Linotype"/>
        </w:rPr>
        <w:t>blica</w:t>
      </w:r>
      <w:r w:rsidR="009B48D0" w:rsidRPr="00FF7528">
        <w:rPr>
          <w:rFonts w:ascii="Palatino Linotype" w:hAnsi="Palatino Linotype"/>
        </w:rPr>
        <w:t xml:space="preserve"> de lo solicitad</w:t>
      </w:r>
      <w:r w:rsidR="008E4F87" w:rsidRPr="00FF7528">
        <w:rPr>
          <w:rFonts w:ascii="Palatino Linotype" w:hAnsi="Palatino Linotype"/>
        </w:rPr>
        <w:t>o</w:t>
      </w:r>
      <w:r w:rsidR="00C84367" w:rsidRPr="00FF7528">
        <w:rPr>
          <w:rFonts w:ascii="Palatino Linotype" w:hAnsi="Palatino Linotype"/>
        </w:rPr>
        <w:t xml:space="preserve">, agregando </w:t>
      </w:r>
      <w:r w:rsidR="00097552" w:rsidRPr="00FF7528">
        <w:rPr>
          <w:rFonts w:ascii="Palatino Linotype" w:hAnsi="Palatino Linotype"/>
        </w:rPr>
        <w:t>que a la fecha, no se cuenta con algún pronunciamiento q</w:t>
      </w:r>
      <w:r w:rsidR="008B1B75" w:rsidRPr="00FF7528">
        <w:rPr>
          <w:rFonts w:ascii="Palatino Linotype" w:hAnsi="Palatino Linotype"/>
        </w:rPr>
        <w:t>ue exprese el</w:t>
      </w:r>
      <w:r w:rsidR="00097552" w:rsidRPr="00FF7528">
        <w:rPr>
          <w:rFonts w:ascii="Palatino Linotype" w:hAnsi="Palatino Linotype"/>
        </w:rPr>
        <w:t xml:space="preserve"> consentimiento y/o autorización y/o determinación en la que el servidor público referido en la solicitud, refiera alguna versión pública</w:t>
      </w:r>
      <w:r w:rsidR="00931BB1" w:rsidRPr="00FF7528">
        <w:rPr>
          <w:rFonts w:ascii="Palatino Linotype" w:hAnsi="Palatino Linotype"/>
        </w:rPr>
        <w:t xml:space="preserve"> de su Manifestación de Bienes y la Declaración de Intereses o de su Declaración de Situación Patrimonial, de Intereses y la Constancia de la Declaración Fiscal, o para hacer públicas las mismas, una vez que se hayan presentado.</w:t>
      </w:r>
    </w:p>
    <w:p w:rsidR="00BD0B9F" w:rsidRPr="00FF7528" w:rsidRDefault="00AE3D18" w:rsidP="000E7C2C">
      <w:pPr>
        <w:spacing w:before="240" w:after="240" w:line="360" w:lineRule="auto"/>
        <w:jc w:val="both"/>
        <w:rPr>
          <w:rFonts w:ascii="Palatino Linotype" w:hAnsi="Palatino Linotype"/>
        </w:rPr>
      </w:pPr>
      <w:r w:rsidRPr="00FF7528">
        <w:rPr>
          <w:rFonts w:ascii="Palatino Linotype" w:hAnsi="Palatino Linotype"/>
        </w:rPr>
        <w:t>Inconforme con la respuesta</w:t>
      </w:r>
      <w:r w:rsidR="00E31F49" w:rsidRPr="00FF7528">
        <w:rPr>
          <w:rFonts w:ascii="Palatino Linotype" w:hAnsi="Palatino Linotype"/>
        </w:rPr>
        <w:t xml:space="preserve">, el particular </w:t>
      </w:r>
      <w:r w:rsidRPr="00FF7528">
        <w:rPr>
          <w:rFonts w:ascii="Palatino Linotype" w:hAnsi="Palatino Linotype"/>
        </w:rPr>
        <w:t>procedió a través de</w:t>
      </w:r>
      <w:r w:rsidR="00DF6EE0" w:rsidRPr="00FF7528">
        <w:rPr>
          <w:rFonts w:ascii="Palatino Linotype" w:hAnsi="Palatino Linotype"/>
        </w:rPr>
        <w:t xml:space="preserve">l </w:t>
      </w:r>
      <w:r w:rsidR="009B2B5C" w:rsidRPr="00FF7528">
        <w:rPr>
          <w:rFonts w:ascii="Palatino Linotype" w:hAnsi="Palatino Linotype"/>
        </w:rPr>
        <w:t>recurso de revisión que se resuelve</w:t>
      </w:r>
      <w:r w:rsidRPr="00FF7528">
        <w:rPr>
          <w:rFonts w:ascii="Palatino Linotype" w:hAnsi="Palatino Linotype"/>
        </w:rPr>
        <w:t xml:space="preserve">, </w:t>
      </w:r>
      <w:r w:rsidR="009B2B5C" w:rsidRPr="00FF7528">
        <w:rPr>
          <w:rFonts w:ascii="Palatino Linotype" w:hAnsi="Palatino Linotype"/>
        </w:rPr>
        <w:t xml:space="preserve">manifestando </w:t>
      </w:r>
      <w:r w:rsidR="00BD0B9F" w:rsidRPr="00FF7528">
        <w:rPr>
          <w:rFonts w:ascii="Palatino Linotype" w:hAnsi="Palatino Linotype"/>
        </w:rPr>
        <w:t xml:space="preserve">de manera concreta como </w:t>
      </w:r>
      <w:r w:rsidR="00BD0B9F" w:rsidRPr="00FF7528">
        <w:rPr>
          <w:rFonts w:ascii="Palatino Linotype" w:hAnsi="Palatino Linotype"/>
          <w:b/>
        </w:rPr>
        <w:t>motivos de inconformidad</w:t>
      </w:r>
      <w:r w:rsidR="00E31F49" w:rsidRPr="00FF7528">
        <w:rPr>
          <w:rFonts w:ascii="Palatino Linotype" w:hAnsi="Palatino Linotype"/>
          <w:b/>
        </w:rPr>
        <w:t>,</w:t>
      </w:r>
      <w:r w:rsidR="00BD0B9F" w:rsidRPr="00FF7528">
        <w:rPr>
          <w:rFonts w:ascii="Palatino Linotype" w:hAnsi="Palatino Linotype"/>
        </w:rPr>
        <w:t xml:space="preserve"> que se solicitó la declaración de conclusión del encargo, no la versión pública de la declaración fiscal, ni la versión pública de</w:t>
      </w:r>
      <w:r w:rsidR="00E31F49" w:rsidRPr="00FF7528">
        <w:rPr>
          <w:rFonts w:ascii="Palatino Linotype" w:hAnsi="Palatino Linotype"/>
        </w:rPr>
        <w:t xml:space="preserve"> la declaración de </w:t>
      </w:r>
      <w:r w:rsidR="00BD0B9F" w:rsidRPr="00FF7528">
        <w:rPr>
          <w:rFonts w:ascii="Palatino Linotype" w:hAnsi="Palatino Linotype"/>
        </w:rPr>
        <w:t xml:space="preserve">conflicto de </w:t>
      </w:r>
      <w:r w:rsidR="00EB2D2F" w:rsidRPr="00FF7528">
        <w:rPr>
          <w:rFonts w:ascii="Palatino Linotype" w:hAnsi="Palatino Linotype"/>
        </w:rPr>
        <w:t>intereses</w:t>
      </w:r>
      <w:r w:rsidR="00BD0B9F" w:rsidRPr="00FF7528">
        <w:rPr>
          <w:rFonts w:ascii="Palatino Linotype" w:hAnsi="Palatino Linotype"/>
        </w:rPr>
        <w:t>.</w:t>
      </w:r>
    </w:p>
    <w:p w:rsidR="00797361" w:rsidRPr="00FF7528" w:rsidRDefault="002E216D" w:rsidP="000E7C2C">
      <w:pPr>
        <w:spacing w:before="240" w:after="240" w:line="360" w:lineRule="auto"/>
        <w:jc w:val="both"/>
        <w:rPr>
          <w:rFonts w:ascii="Palatino Linotype" w:hAnsi="Palatino Linotype"/>
        </w:rPr>
      </w:pPr>
      <w:r w:rsidRPr="00FF7528">
        <w:rPr>
          <w:rFonts w:ascii="Palatino Linotype" w:hAnsi="Palatino Linotype"/>
        </w:rPr>
        <w:t>P</w:t>
      </w:r>
      <w:r w:rsidR="00170859" w:rsidRPr="00FF7528">
        <w:rPr>
          <w:rFonts w:ascii="Palatino Linotype" w:hAnsi="Palatino Linotype"/>
        </w:rPr>
        <w:t>or su parte</w:t>
      </w:r>
      <w:r w:rsidR="00CA2BAF" w:rsidRPr="00FF7528">
        <w:rPr>
          <w:rFonts w:ascii="Palatino Linotype" w:hAnsi="Palatino Linotype"/>
        </w:rPr>
        <w:t>,</w:t>
      </w:r>
      <w:r w:rsidR="00170859" w:rsidRPr="00FF7528">
        <w:rPr>
          <w:rFonts w:ascii="Palatino Linotype" w:hAnsi="Palatino Linotype"/>
        </w:rPr>
        <w:t xml:space="preserve"> el Sujeto Obligado </w:t>
      </w:r>
      <w:r w:rsidR="00683DDE" w:rsidRPr="00FF7528">
        <w:rPr>
          <w:rFonts w:ascii="Palatino Linotype" w:hAnsi="Palatino Linotype"/>
        </w:rPr>
        <w:t xml:space="preserve">rindió </w:t>
      </w:r>
      <w:r w:rsidR="00170859" w:rsidRPr="00FF7528">
        <w:rPr>
          <w:rFonts w:ascii="Palatino Linotype" w:hAnsi="Palatino Linotype"/>
        </w:rPr>
        <w:t>Informe Justificado</w:t>
      </w:r>
      <w:r w:rsidR="00683DDE" w:rsidRPr="00FF7528">
        <w:rPr>
          <w:rFonts w:ascii="Palatino Linotype" w:hAnsi="Palatino Linotype"/>
        </w:rPr>
        <w:t xml:space="preserve"> mediante el cual</w:t>
      </w:r>
      <w:r w:rsidR="00170859" w:rsidRPr="00FF7528">
        <w:rPr>
          <w:rFonts w:ascii="Palatino Linotype" w:hAnsi="Palatino Linotype"/>
        </w:rPr>
        <w:t xml:space="preserve"> </w:t>
      </w:r>
      <w:r w:rsidR="00797361" w:rsidRPr="00FF7528">
        <w:rPr>
          <w:rFonts w:ascii="Palatino Linotype" w:hAnsi="Palatino Linotype"/>
        </w:rPr>
        <w:t xml:space="preserve">refirió que </w:t>
      </w:r>
      <w:r w:rsidR="00BC4788" w:rsidRPr="00FF7528">
        <w:rPr>
          <w:rFonts w:ascii="Palatino Linotype" w:hAnsi="Palatino Linotype"/>
        </w:rPr>
        <w:t xml:space="preserve">se consideraban incorrectas las aseveraciones formuladas por el particular </w:t>
      </w:r>
      <w:r w:rsidR="006E2BFD" w:rsidRPr="00FF7528">
        <w:rPr>
          <w:rFonts w:ascii="Palatino Linotype" w:hAnsi="Palatino Linotype"/>
        </w:rPr>
        <w:t>toda vez que la solicitud fue atendida de manera adecuada al proporcionar la respuesta en tiempo y forma</w:t>
      </w:r>
      <w:r w:rsidR="00931BB1" w:rsidRPr="00FF7528">
        <w:rPr>
          <w:rFonts w:ascii="Palatino Linotype" w:hAnsi="Palatino Linotype"/>
        </w:rPr>
        <w:t>, ratificado su respuesta en los mismos términos, motivo por el cual la ponen</w:t>
      </w:r>
      <w:r w:rsidR="00C01EFF" w:rsidRPr="00FF7528">
        <w:rPr>
          <w:rFonts w:ascii="Palatino Linotype" w:hAnsi="Palatino Linotype"/>
        </w:rPr>
        <w:t xml:space="preserve">cia </w:t>
      </w:r>
      <w:proofErr w:type="spellStart"/>
      <w:r w:rsidR="00C01EFF" w:rsidRPr="00FF7528">
        <w:rPr>
          <w:rFonts w:ascii="Palatino Linotype" w:hAnsi="Palatino Linotype"/>
        </w:rPr>
        <w:t>resolutora</w:t>
      </w:r>
      <w:proofErr w:type="spellEnd"/>
      <w:r w:rsidR="00C01EFF" w:rsidRPr="00FF7528">
        <w:rPr>
          <w:rFonts w:ascii="Palatino Linotype" w:hAnsi="Palatino Linotype"/>
        </w:rPr>
        <w:t xml:space="preserve"> determin</w:t>
      </w:r>
      <w:r w:rsidR="00AE3D18" w:rsidRPr="00FF7528">
        <w:rPr>
          <w:rFonts w:ascii="Palatino Linotype" w:hAnsi="Palatino Linotype"/>
        </w:rPr>
        <w:t xml:space="preserve">ó </w:t>
      </w:r>
      <w:r w:rsidR="00C01EFF" w:rsidRPr="00FF7528">
        <w:rPr>
          <w:rFonts w:ascii="Palatino Linotype" w:hAnsi="Palatino Linotype"/>
        </w:rPr>
        <w:t>que no era procedente poner dicho documento a la vista del recurrente, toda vez que no</w:t>
      </w:r>
      <w:r w:rsidR="00E30EBE" w:rsidRPr="00FF7528">
        <w:rPr>
          <w:rFonts w:ascii="Palatino Linotype" w:hAnsi="Palatino Linotype"/>
        </w:rPr>
        <w:t xml:space="preserve"> se</w:t>
      </w:r>
      <w:r w:rsidR="00C01EFF" w:rsidRPr="00FF7528">
        <w:rPr>
          <w:rFonts w:ascii="Palatino Linotype" w:hAnsi="Palatino Linotype"/>
        </w:rPr>
        <w:t xml:space="preserve"> modificaba la respuesta</w:t>
      </w:r>
      <w:r w:rsidR="00E30EBE" w:rsidRPr="00FF7528">
        <w:rPr>
          <w:rFonts w:ascii="Palatino Linotype" w:hAnsi="Palatino Linotype"/>
        </w:rPr>
        <w:t>, y no aportaba elementos novedosos que permitirán un mejor proveer.</w:t>
      </w:r>
    </w:p>
    <w:p w:rsidR="00557F38" w:rsidRPr="00FF7528" w:rsidRDefault="000E7C2C" w:rsidP="00A07710">
      <w:pPr>
        <w:spacing w:before="240" w:after="240" w:line="360" w:lineRule="auto"/>
        <w:jc w:val="both"/>
        <w:rPr>
          <w:rFonts w:ascii="Palatino Linotype" w:hAnsi="Palatino Linotype" w:cs="Arial"/>
          <w:color w:val="000000" w:themeColor="text1"/>
        </w:rPr>
      </w:pPr>
      <w:r w:rsidRPr="00FF7528">
        <w:rPr>
          <w:rFonts w:ascii="Palatino Linotype" w:hAnsi="Palatino Linotype"/>
        </w:rPr>
        <w:t>Bajo este tenor,</w:t>
      </w:r>
      <w:r w:rsidR="00C27FE8" w:rsidRPr="00FF7528">
        <w:rPr>
          <w:rFonts w:ascii="Palatino Linotype" w:hAnsi="Palatino Linotype"/>
        </w:rPr>
        <w:t xml:space="preserve"> tomando en consideración la materia de la solicitud, así como </w:t>
      </w:r>
      <w:r w:rsidR="008E3C18" w:rsidRPr="00FF7528">
        <w:rPr>
          <w:rFonts w:ascii="Palatino Linotype" w:hAnsi="Palatino Linotype"/>
        </w:rPr>
        <w:t xml:space="preserve">las manifestaciones vertidas por el Sujeto Obligado, a través de la Unidad de Transparencia, </w:t>
      </w:r>
      <w:r w:rsidRPr="00FF7528">
        <w:rPr>
          <w:rFonts w:ascii="Palatino Linotype" w:hAnsi="Palatino Linotype"/>
        </w:rPr>
        <w:t>la ponencia res</w:t>
      </w:r>
      <w:r w:rsidR="00AE3D18" w:rsidRPr="00FF7528">
        <w:rPr>
          <w:rFonts w:ascii="Palatino Linotype" w:hAnsi="Palatino Linotype"/>
        </w:rPr>
        <w:t xml:space="preserve">olvió </w:t>
      </w:r>
      <w:r w:rsidR="00557F38" w:rsidRPr="00FF7528">
        <w:rPr>
          <w:rFonts w:ascii="Palatino Linotype" w:hAnsi="Palatino Linotype"/>
        </w:rPr>
        <w:t>sobreseer el recurso de revisi</w:t>
      </w:r>
      <w:r w:rsidR="00ED276E" w:rsidRPr="00FF7528">
        <w:rPr>
          <w:rFonts w:ascii="Palatino Linotype" w:hAnsi="Palatino Linotype"/>
        </w:rPr>
        <w:t xml:space="preserve">ón </w:t>
      </w:r>
      <w:r w:rsidR="00557F38" w:rsidRPr="00FF7528">
        <w:rPr>
          <w:rFonts w:ascii="Palatino Linotype" w:hAnsi="Palatino Linotype"/>
        </w:rPr>
        <w:t xml:space="preserve">a la luz del artículo </w:t>
      </w:r>
      <w:r w:rsidR="00ED276E" w:rsidRPr="00FF7528">
        <w:rPr>
          <w:rFonts w:ascii="Palatino Linotype" w:hAnsi="Palatino Linotype"/>
        </w:rPr>
        <w:t xml:space="preserve">192 fracción V de la Ley de Trasparencia y Acceso a la Información Pública </w:t>
      </w:r>
      <w:r w:rsidR="00ED276E" w:rsidRPr="00FF7528">
        <w:rPr>
          <w:rFonts w:ascii="Palatino Linotype" w:hAnsi="Palatino Linotype" w:cs="Arial"/>
          <w:color w:val="000000" w:themeColor="text1"/>
        </w:rPr>
        <w:t xml:space="preserve">del Estado de México y Municipios, </w:t>
      </w:r>
      <w:r w:rsidR="00ED276E" w:rsidRPr="00FF7528">
        <w:rPr>
          <w:rFonts w:ascii="Palatino Linotype" w:hAnsi="Palatino Linotype" w:cs="Arial"/>
          <w:color w:val="000000" w:themeColor="text1"/>
        </w:rPr>
        <w:lastRenderedPageBreak/>
        <w:t xml:space="preserve">en razón de que el </w:t>
      </w:r>
      <w:r w:rsidR="006C534A" w:rsidRPr="00FF7528">
        <w:rPr>
          <w:rFonts w:ascii="Palatino Linotype" w:hAnsi="Palatino Linotype" w:cs="Arial"/>
          <w:color w:val="000000" w:themeColor="text1"/>
        </w:rPr>
        <w:t>recurso quedó sin materia, bajo los argumentos que se exponen a continuación.</w:t>
      </w:r>
    </w:p>
    <w:p w:rsidR="00EA2D41" w:rsidRPr="00FF7528" w:rsidRDefault="00EA2D41" w:rsidP="00EA2D41">
      <w:pPr>
        <w:spacing w:before="240" w:after="240" w:line="360" w:lineRule="auto"/>
        <w:jc w:val="both"/>
        <w:rPr>
          <w:rFonts w:ascii="Palatino Linotype" w:hAnsi="Palatino Linotype"/>
        </w:rPr>
      </w:pPr>
      <w:r w:rsidRPr="00FF7528">
        <w:rPr>
          <w:rFonts w:ascii="Palatino Linotype" w:hAnsi="Palatino Linotype"/>
        </w:rPr>
        <w:t xml:space="preserve">Si bien es cierto que de conformidad con los artículos 29 de la Ley General de Responsabilidades Administrativas y 30 de la </w:t>
      </w:r>
      <w:r w:rsidRPr="00FF7528">
        <w:rPr>
          <w:rFonts w:ascii="Palatino Linotype" w:hAnsi="Palatino Linotype" w:cs="Arial"/>
          <w:color w:val="000000" w:themeColor="text1"/>
        </w:rPr>
        <w:t>Ley de Responsabilidades Administrativas del Estado de México y Municipios, las declaraciones patrimoniales y de intereses serán públicas, asimismo establecen una salvedad por cuanto hace a aquellos rubros cuya publicidad pueda afectar la vida privada o los datos personales protegidos por la Constitución, en este sentido,  se le confiere al Comité Coordinador del Sistema Nacional Anticorrupción, a propuesta del Comité de Participación Ciudadana, la facultad de emitir los formatos en los que se garantice que los rubros que pudieran afectar los derechos aludidos queden en resguardo de las autoridades competentes, en apego a las leyes y ordenamientos en la materia.</w:t>
      </w:r>
    </w:p>
    <w:p w:rsidR="00EA2D41" w:rsidRPr="00FF7528" w:rsidRDefault="00EA2D41" w:rsidP="00EA2D41">
      <w:pPr>
        <w:spacing w:before="240" w:after="240" w:line="360" w:lineRule="auto"/>
        <w:jc w:val="both"/>
        <w:rPr>
          <w:rFonts w:ascii="Palatino Linotype" w:eastAsia="MS Mincho" w:hAnsi="Palatino Linotype" w:cs="Times New Roman"/>
          <w:color w:val="000000"/>
        </w:rPr>
      </w:pPr>
      <w:r w:rsidRPr="00FF7528">
        <w:rPr>
          <w:rFonts w:ascii="Palatino Linotype" w:hAnsi="Palatino Linotype" w:cs="Arial"/>
          <w:bCs/>
          <w:lang w:eastAsia="es-MX"/>
        </w:rPr>
        <w:t xml:space="preserve">Sin embargo, </w:t>
      </w:r>
      <w:r w:rsidRPr="00FF7528">
        <w:rPr>
          <w:rFonts w:ascii="Palatino Linotype" w:eastAsia="MS Mincho" w:hAnsi="Palatino Linotype" w:cs="Times New Roman"/>
          <w:color w:val="000000"/>
        </w:rPr>
        <w:t xml:space="preserve">derivado </w:t>
      </w:r>
      <w:r w:rsidR="001E3BC5" w:rsidRPr="00FF7528">
        <w:rPr>
          <w:rFonts w:ascii="Palatino Linotype" w:eastAsia="MS Mincho" w:hAnsi="Palatino Linotype" w:cs="Times New Roman"/>
          <w:color w:val="000000"/>
        </w:rPr>
        <w:t xml:space="preserve"> de </w:t>
      </w:r>
      <w:r w:rsidRPr="00FF7528">
        <w:rPr>
          <w:rFonts w:ascii="Palatino Linotype" w:eastAsia="MS Mincho" w:hAnsi="Palatino Linotype" w:cs="Times New Roman"/>
          <w:color w:val="000000"/>
        </w:rPr>
        <w:t xml:space="preserve">que corresponde al Comité de Participación Ciudadana y al Comité Coordinador del Sistema Nacional Anticorrupción, definir y aprobar respectivamente, los formatos para la publicidad de las declaraciones patrimonial y de intereses aplicables a los tres niveles de gobierno –federal, estatal y municipal- y a los organismos autónomos, la ponencia </w:t>
      </w:r>
      <w:proofErr w:type="spellStart"/>
      <w:r w:rsidRPr="00FF7528">
        <w:rPr>
          <w:rFonts w:ascii="Palatino Linotype" w:eastAsia="MS Mincho" w:hAnsi="Palatino Linotype" w:cs="Times New Roman"/>
          <w:color w:val="000000"/>
        </w:rPr>
        <w:t>resolutora</w:t>
      </w:r>
      <w:proofErr w:type="spellEnd"/>
      <w:r w:rsidRPr="00FF7528">
        <w:rPr>
          <w:rFonts w:ascii="Palatino Linotype" w:eastAsia="MS Mincho" w:hAnsi="Palatino Linotype" w:cs="Times New Roman"/>
          <w:color w:val="000000"/>
        </w:rPr>
        <w:t xml:space="preserve"> observó que el Comité de Participación Ciudadana, ya tiene disponible un apartado en su sitio de internet oficial</w:t>
      </w:r>
      <w:r w:rsidRPr="00FF7528">
        <w:rPr>
          <w:rStyle w:val="Refdenotaalpie"/>
          <w:rFonts w:ascii="Palatino Linotype" w:eastAsia="MS Mincho" w:hAnsi="Palatino Linotype" w:cs="Times New Roman"/>
          <w:color w:val="000000"/>
        </w:rPr>
        <w:footnoteReference w:id="1"/>
      </w:r>
      <w:r w:rsidRPr="00FF7528">
        <w:rPr>
          <w:rFonts w:ascii="Palatino Linotype" w:eastAsia="MS Mincho" w:hAnsi="Palatino Linotype" w:cs="Times New Roman"/>
          <w:color w:val="000000"/>
        </w:rPr>
        <w:t>, con el propósito de publicar los formatos de versión pública para la presentación de la declaración patrimonial y de intereses, así como el formato de la carta de autorización para hacer disponible para consulta y reproducción, a través de su plataforma, no obstante, dicha información aún no se encuentra disponible o habilitada.</w:t>
      </w:r>
    </w:p>
    <w:p w:rsidR="00EA2D41" w:rsidRPr="00FF7528" w:rsidRDefault="00EA2D41" w:rsidP="00EA2D41">
      <w:pPr>
        <w:spacing w:before="240" w:after="240" w:line="360" w:lineRule="auto"/>
        <w:jc w:val="both"/>
        <w:rPr>
          <w:rFonts w:ascii="Palatino Linotype" w:eastAsia="MS Mincho" w:hAnsi="Palatino Linotype" w:cs="Times New Roman"/>
          <w:color w:val="000000"/>
        </w:rPr>
      </w:pPr>
      <w:r w:rsidRPr="00FF7528">
        <w:rPr>
          <w:rFonts w:ascii="Palatino Linotype" w:eastAsia="MS Mincho" w:hAnsi="Palatino Linotype" w:cs="Times New Roman"/>
          <w:color w:val="000000"/>
        </w:rPr>
        <w:lastRenderedPageBreak/>
        <w:t>Bajo estos argumentos, se determinó que aun y cuando ya se encuentran vigentes los dispositivos legales que rigen la materia de la solicitud, no es dable ordenar al Sujeto Obligado, entregar</w:t>
      </w:r>
      <w:r w:rsidR="008C69F7" w:rsidRPr="00FF7528">
        <w:rPr>
          <w:rFonts w:ascii="Palatino Linotype" w:eastAsia="MS Mincho" w:hAnsi="Palatino Linotype" w:cs="Times New Roman"/>
          <w:color w:val="000000"/>
        </w:rPr>
        <w:t xml:space="preserve"> </w:t>
      </w:r>
      <w:r w:rsidRPr="00FF7528">
        <w:rPr>
          <w:rFonts w:ascii="Palatino Linotype" w:eastAsia="MS Mincho" w:hAnsi="Palatino Linotype" w:cs="Times New Roman"/>
          <w:color w:val="000000"/>
        </w:rPr>
        <w:t xml:space="preserve">la información de referencia en razón de que al no encontrarse publicados oficialmente los formatos por la autoridad competente, no es posible proporcionar las documentales requeridas en versión pública, ya que los formatos que fueron recientemente aprobados por el Comité Coordinador del Sistema Nacional Anticorrupción, no entrarán en vigor, sino hasta el mes de mayo de dos mil diecinueve. </w:t>
      </w:r>
    </w:p>
    <w:p w:rsidR="00EA2D41" w:rsidRPr="00FF7528" w:rsidRDefault="00EA2D41" w:rsidP="00EA2D41">
      <w:pPr>
        <w:spacing w:before="240" w:after="240" w:line="360" w:lineRule="auto"/>
        <w:jc w:val="both"/>
        <w:rPr>
          <w:rFonts w:ascii="Palatino Linotype" w:hAnsi="Palatino Linotype"/>
        </w:rPr>
      </w:pPr>
      <w:r w:rsidRPr="00FF7528">
        <w:rPr>
          <w:rFonts w:ascii="Palatino Linotype" w:eastAsia="MS Mincho" w:hAnsi="Palatino Linotype" w:cs="Times New Roman"/>
          <w:color w:val="000000"/>
        </w:rPr>
        <w:t xml:space="preserve">En este orden de ideas, </w:t>
      </w:r>
      <w:r w:rsidR="00AE1206" w:rsidRPr="00FF7528">
        <w:rPr>
          <w:rFonts w:ascii="Palatino Linotype" w:eastAsia="MS Mincho" w:hAnsi="Palatino Linotype" w:cs="Times New Roman"/>
          <w:color w:val="000000"/>
        </w:rPr>
        <w:t xml:space="preserve">estimó </w:t>
      </w:r>
      <w:r w:rsidRPr="00FF7528">
        <w:rPr>
          <w:rFonts w:ascii="Palatino Linotype" w:eastAsia="MS Mincho" w:hAnsi="Palatino Linotype" w:cs="Times New Roman"/>
          <w:color w:val="000000"/>
        </w:rPr>
        <w:t xml:space="preserve">que las Declaraciones aún no pueden ser consideradas como públicas en toda la </w:t>
      </w:r>
      <w:r w:rsidR="00AE1206" w:rsidRPr="00FF7528">
        <w:rPr>
          <w:rFonts w:ascii="Palatino Linotype" w:eastAsia="MS Mincho" w:hAnsi="Palatino Linotype" w:cs="Times New Roman"/>
          <w:color w:val="000000"/>
        </w:rPr>
        <w:t>extensión</w:t>
      </w:r>
      <w:r w:rsidRPr="00FF7528">
        <w:rPr>
          <w:rFonts w:ascii="Palatino Linotype" w:eastAsia="MS Mincho" w:hAnsi="Palatino Linotype" w:cs="Times New Roman"/>
          <w:color w:val="000000"/>
        </w:rPr>
        <w:t xml:space="preserve"> de la palabra, mucho menos si no existe consentimiento expreso del titular de los datos los que se pretende acceder, para hacerlos públicos, situación que en el caso concreto, se configura, toda vez que como lo refirió el sujeto obligado, hasta la fecha </w:t>
      </w:r>
      <w:r w:rsidRPr="00FF7528">
        <w:rPr>
          <w:rFonts w:ascii="Palatino Linotype" w:hAnsi="Palatino Linotype"/>
        </w:rPr>
        <w:t>no cuenta con algún pronunciamiento en el que el servidor público referido en la solicitud exprese su consentimiento para hacer públicas sus declaraciones una vez que estas hayan sido presentadas.</w:t>
      </w:r>
    </w:p>
    <w:p w:rsidR="00004F50" w:rsidRPr="00FF7528" w:rsidRDefault="00EA2D41" w:rsidP="00B65125">
      <w:pPr>
        <w:spacing w:before="240" w:after="240" w:line="360" w:lineRule="auto"/>
        <w:jc w:val="both"/>
        <w:rPr>
          <w:rFonts w:ascii="Palatino Linotype" w:hAnsi="Palatino Linotype"/>
        </w:rPr>
      </w:pPr>
      <w:r w:rsidRPr="00FF7528">
        <w:rPr>
          <w:rFonts w:ascii="Palatino Linotype" w:hAnsi="Palatino Linotype"/>
        </w:rPr>
        <w:t>A</w:t>
      </w:r>
      <w:r w:rsidR="00B65125" w:rsidRPr="00FF7528">
        <w:rPr>
          <w:rFonts w:ascii="Palatino Linotype" w:hAnsi="Palatino Linotype"/>
        </w:rPr>
        <w:t xml:space="preserve">l respecto, </w:t>
      </w:r>
      <w:r w:rsidR="00004F50" w:rsidRPr="00FF7528">
        <w:rPr>
          <w:rFonts w:ascii="Palatino Linotype" w:hAnsi="Palatino Linotype"/>
        </w:rPr>
        <w:t xml:space="preserve">comparto la forma en que </w:t>
      </w:r>
      <w:r w:rsidR="00B65125" w:rsidRPr="00FF7528">
        <w:rPr>
          <w:rFonts w:ascii="Palatino Linotype" w:hAnsi="Palatino Linotype"/>
        </w:rPr>
        <w:t xml:space="preserve"> el Comisionado ponente </w:t>
      </w:r>
      <w:r w:rsidR="00004F50" w:rsidRPr="00FF7528">
        <w:rPr>
          <w:rFonts w:ascii="Palatino Linotype" w:hAnsi="Palatino Linotype"/>
        </w:rPr>
        <w:t>resuelve</w:t>
      </w:r>
      <w:r w:rsidR="00B65125" w:rsidRPr="00FF7528">
        <w:rPr>
          <w:rFonts w:ascii="Palatino Linotype" w:hAnsi="Palatino Linotype"/>
        </w:rPr>
        <w:t xml:space="preserve"> el presente recurso,</w:t>
      </w:r>
      <w:r w:rsidR="00AE1206" w:rsidRPr="00FF7528">
        <w:rPr>
          <w:rFonts w:ascii="Palatino Linotype" w:hAnsi="Palatino Linotype"/>
        </w:rPr>
        <w:t xml:space="preserve"> lo cual </w:t>
      </w:r>
      <w:r w:rsidR="00004F50" w:rsidRPr="00FF7528">
        <w:rPr>
          <w:rFonts w:ascii="Palatino Linotype" w:hAnsi="Palatino Linotype"/>
        </w:rPr>
        <w:t>se apega a lo que hoy nos mandata nuestra Ley de Responsabilidades Administrativas del Estado de México y Municipios en su artículo 30</w:t>
      </w:r>
      <w:r w:rsidR="00AE1206" w:rsidRPr="00FF7528">
        <w:rPr>
          <w:rFonts w:ascii="Palatino Linotype" w:hAnsi="Palatino Linotype"/>
        </w:rPr>
        <w:t xml:space="preserve">, </w:t>
      </w:r>
      <w:r w:rsidR="00004F50" w:rsidRPr="00FF7528">
        <w:rPr>
          <w:rFonts w:ascii="Palatino Linotype" w:hAnsi="Palatino Linotype"/>
        </w:rPr>
        <w:t>y en materia de transparencia re</w:t>
      </w:r>
      <w:r w:rsidR="00B65125" w:rsidRPr="00FF7528">
        <w:rPr>
          <w:rFonts w:ascii="Palatino Linotype" w:hAnsi="Palatino Linotype"/>
        </w:rPr>
        <w:t xml:space="preserve">lacionado con </w:t>
      </w:r>
      <w:r w:rsidR="00004F50" w:rsidRPr="00FF7528">
        <w:rPr>
          <w:rFonts w:ascii="Palatino Linotype" w:hAnsi="Palatino Linotype"/>
        </w:rPr>
        <w:t xml:space="preserve">las versiones públicas de las declaraciones patrimoniales </w:t>
      </w:r>
      <w:r w:rsidR="00B65125" w:rsidRPr="00FF7528">
        <w:rPr>
          <w:rFonts w:ascii="Palatino Linotype" w:hAnsi="Palatino Linotype"/>
        </w:rPr>
        <w:t xml:space="preserve">que </w:t>
      </w:r>
      <w:r w:rsidR="00004F50" w:rsidRPr="00FF7528">
        <w:rPr>
          <w:rFonts w:ascii="Palatino Linotype" w:hAnsi="Palatino Linotype"/>
        </w:rPr>
        <w:t>plantea el artículo 92, fracción XIII de nuestra respectiva Ley en</w:t>
      </w:r>
      <w:r w:rsidR="00B65125" w:rsidRPr="00FF7528">
        <w:rPr>
          <w:rFonts w:ascii="Palatino Linotype" w:hAnsi="Palatino Linotype"/>
        </w:rPr>
        <w:t xml:space="preserve"> materia de Transparencia, sin embargo, dada la relevancia de la materia de la solicitud, es oportuno realizar las siguientes precisiones</w:t>
      </w:r>
    </w:p>
    <w:p w:rsidR="007608C1" w:rsidRPr="00FF7528" w:rsidRDefault="007608C1" w:rsidP="00A053DB">
      <w:pPr>
        <w:spacing w:line="360" w:lineRule="auto"/>
        <w:jc w:val="both"/>
        <w:rPr>
          <w:rFonts w:ascii="Palatino Linotype" w:hAnsi="Palatino Linotype"/>
        </w:rPr>
      </w:pPr>
      <w:r w:rsidRPr="00FF7528">
        <w:rPr>
          <w:rFonts w:ascii="Palatino Linotype" w:hAnsi="Palatino Linotype"/>
        </w:rPr>
        <w:t xml:space="preserve">Lo referido, </w:t>
      </w:r>
      <w:r w:rsidR="00004F50" w:rsidRPr="00FF7528">
        <w:rPr>
          <w:rFonts w:ascii="Palatino Linotype" w:hAnsi="Palatino Linotype"/>
        </w:rPr>
        <w:t xml:space="preserve">es un tema que derivó en controversia o acciones de inconstitucionalidad </w:t>
      </w:r>
      <w:r w:rsidR="00A053DB" w:rsidRPr="00FF7528">
        <w:rPr>
          <w:rFonts w:ascii="Palatino Linotype" w:hAnsi="Palatino Linotype"/>
        </w:rPr>
        <w:t xml:space="preserve">ante </w:t>
      </w:r>
      <w:r w:rsidR="00004F50" w:rsidRPr="00FF7528">
        <w:rPr>
          <w:rFonts w:ascii="Palatino Linotype" w:hAnsi="Palatino Linotype"/>
        </w:rPr>
        <w:t>la Suprema Corte de Justicia de la Nación.</w:t>
      </w:r>
      <w:r w:rsidRPr="00FF7528">
        <w:rPr>
          <w:rFonts w:ascii="Palatino Linotype" w:hAnsi="Palatino Linotype"/>
        </w:rPr>
        <w:t xml:space="preserve"> </w:t>
      </w:r>
    </w:p>
    <w:p w:rsidR="00A053DB" w:rsidRPr="00FF7528" w:rsidRDefault="007608C1" w:rsidP="007A4602">
      <w:pPr>
        <w:spacing w:line="360" w:lineRule="auto"/>
        <w:jc w:val="both"/>
        <w:rPr>
          <w:rFonts w:ascii="Palatino Linotype" w:hAnsi="Palatino Linotype"/>
        </w:rPr>
      </w:pPr>
      <w:r w:rsidRPr="00FF7528">
        <w:rPr>
          <w:rFonts w:ascii="Palatino Linotype" w:hAnsi="Palatino Linotype"/>
        </w:rPr>
        <w:lastRenderedPageBreak/>
        <w:t xml:space="preserve">Iniciaré </w:t>
      </w:r>
      <w:r w:rsidR="00004F50" w:rsidRPr="00FF7528">
        <w:rPr>
          <w:rFonts w:ascii="Palatino Linotype" w:hAnsi="Palatino Linotype"/>
        </w:rPr>
        <w:t>de manera cronológica</w:t>
      </w:r>
      <w:r w:rsidRPr="00FF7528">
        <w:rPr>
          <w:rFonts w:ascii="Palatino Linotype" w:hAnsi="Palatino Linotype"/>
        </w:rPr>
        <w:t>, en su momento</w:t>
      </w:r>
      <w:r w:rsidR="00136936" w:rsidRPr="00FF7528">
        <w:rPr>
          <w:rFonts w:ascii="Palatino Linotype" w:hAnsi="Palatino Linotype"/>
        </w:rPr>
        <w:t>,</w:t>
      </w:r>
      <w:r w:rsidRPr="00FF7528">
        <w:rPr>
          <w:rFonts w:ascii="Palatino Linotype" w:hAnsi="Palatino Linotype"/>
        </w:rPr>
        <w:t xml:space="preserve"> </w:t>
      </w:r>
      <w:r w:rsidR="00A053DB" w:rsidRPr="00FF7528">
        <w:rPr>
          <w:rFonts w:ascii="Palatino Linotype" w:hAnsi="Palatino Linotype"/>
        </w:rPr>
        <w:t xml:space="preserve">un grupo de diputados federales  promovieron una acción de inconstitucionalidad en torno a lo dispuesto en los artículos </w:t>
      </w:r>
      <w:r w:rsidR="00C93943" w:rsidRPr="00FF7528">
        <w:rPr>
          <w:rFonts w:ascii="Palatino Linotype" w:hAnsi="Palatino Linotype"/>
        </w:rPr>
        <w:t>“</w:t>
      </w:r>
      <w:r w:rsidR="00A053DB" w:rsidRPr="00FF7528">
        <w:rPr>
          <w:rFonts w:ascii="Palatino Linotype" w:hAnsi="Palatino Linotype"/>
        </w:rPr>
        <w:t>29, 34, párrafo tercero y 48, párrafo primero de la Ley General de Responsabilidades Administrativas</w:t>
      </w:r>
      <w:r w:rsidR="00C93943" w:rsidRPr="00FF7528">
        <w:rPr>
          <w:rFonts w:ascii="Palatino Linotype" w:hAnsi="Palatino Linotype"/>
        </w:rPr>
        <w:t>”</w:t>
      </w:r>
      <w:r w:rsidR="00C93943" w:rsidRPr="00FF7528">
        <w:rPr>
          <w:rStyle w:val="Refdenotaalpie"/>
          <w:rFonts w:ascii="Palatino Linotype" w:hAnsi="Palatino Linotype"/>
        </w:rPr>
        <w:footnoteReference w:id="2"/>
      </w:r>
      <w:r w:rsidR="00A053DB" w:rsidRPr="00FF7528">
        <w:rPr>
          <w:rFonts w:ascii="Palatino Linotype" w:hAnsi="Palatino Linotype"/>
        </w:rPr>
        <w:t xml:space="preserve">, así como del artículo Transitorio Tercero párrafo sexto del Decreto por el que se expide la Ley General del Sistema Nacional Anticorrupción; la Ley General de Responsabilidades Administrativas y la Ley Orgánica del  Tribunal Federal de Justicia Administrativa, publicada en el Diario Oficial de la Federación el 18 de julio de 2016. </w:t>
      </w:r>
    </w:p>
    <w:p w:rsidR="00004F50" w:rsidRPr="00FF7528" w:rsidRDefault="00A053DB" w:rsidP="007A4602">
      <w:pPr>
        <w:spacing w:line="360" w:lineRule="auto"/>
        <w:jc w:val="both"/>
        <w:rPr>
          <w:rFonts w:ascii="Palatino Linotype" w:hAnsi="Palatino Linotype"/>
        </w:rPr>
      </w:pPr>
      <w:r w:rsidRPr="00FF7528">
        <w:rPr>
          <w:rFonts w:ascii="Palatino Linotype" w:hAnsi="Palatino Linotype"/>
        </w:rPr>
        <w:lastRenderedPageBreak/>
        <w:t>En consecuencia</w:t>
      </w:r>
      <w:r w:rsidR="00136936" w:rsidRPr="00FF7528">
        <w:rPr>
          <w:rFonts w:ascii="Palatino Linotype" w:hAnsi="Palatino Linotype"/>
        </w:rPr>
        <w:t xml:space="preserve">, </w:t>
      </w:r>
      <w:r w:rsidR="00004F50" w:rsidRPr="00FF7528">
        <w:rPr>
          <w:rFonts w:ascii="Palatino Linotype" w:hAnsi="Palatino Linotype"/>
        </w:rPr>
        <w:t>el</w:t>
      </w:r>
      <w:r w:rsidR="00136936" w:rsidRPr="00FF7528">
        <w:rPr>
          <w:rFonts w:ascii="Palatino Linotype" w:hAnsi="Palatino Linotype"/>
        </w:rPr>
        <w:t xml:space="preserve"> Ministro Ramón Cossío Díaz</w:t>
      </w:r>
      <w:r w:rsidR="00004F50" w:rsidRPr="00FF7528">
        <w:rPr>
          <w:rFonts w:ascii="Palatino Linotype" w:hAnsi="Palatino Linotype"/>
        </w:rPr>
        <w:t xml:space="preserve"> </w:t>
      </w:r>
      <w:r w:rsidR="00136936" w:rsidRPr="00FF7528">
        <w:rPr>
          <w:rFonts w:ascii="Palatino Linotype" w:hAnsi="Palatino Linotype"/>
        </w:rPr>
        <w:t xml:space="preserve">presentó ante el </w:t>
      </w:r>
      <w:r w:rsidR="00004F50" w:rsidRPr="00FF7528">
        <w:rPr>
          <w:rFonts w:ascii="Palatino Linotype" w:hAnsi="Palatino Linotype"/>
        </w:rPr>
        <w:t>pleno de la Corte</w:t>
      </w:r>
      <w:r w:rsidR="00136936" w:rsidRPr="00FF7528">
        <w:rPr>
          <w:rFonts w:ascii="Palatino Linotype" w:hAnsi="Palatino Linotype"/>
        </w:rPr>
        <w:t>,</w:t>
      </w:r>
      <w:r w:rsidR="00004F50" w:rsidRPr="00FF7528">
        <w:rPr>
          <w:rFonts w:ascii="Palatino Linotype" w:hAnsi="Palatino Linotype"/>
        </w:rPr>
        <w:t xml:space="preserve"> en sesión pública del lunes 12 de junio del 2017</w:t>
      </w:r>
      <w:r w:rsidRPr="00FF7528">
        <w:rPr>
          <w:rFonts w:ascii="Palatino Linotype" w:hAnsi="Palatino Linotype"/>
        </w:rPr>
        <w:t xml:space="preserve">, </w:t>
      </w:r>
      <w:r w:rsidR="00136936" w:rsidRPr="00FF7528">
        <w:rPr>
          <w:rFonts w:ascii="Palatino Linotype" w:hAnsi="Palatino Linotype"/>
        </w:rPr>
        <w:t>e</w:t>
      </w:r>
      <w:r w:rsidR="00004F50" w:rsidRPr="00FF7528">
        <w:rPr>
          <w:rFonts w:ascii="Palatino Linotype" w:hAnsi="Palatino Linotype"/>
        </w:rPr>
        <w:t>l proyecto</w:t>
      </w:r>
      <w:r w:rsidR="00136936" w:rsidRPr="00FF7528">
        <w:rPr>
          <w:rFonts w:ascii="Palatino Linotype" w:hAnsi="Palatino Linotype"/>
        </w:rPr>
        <w:t xml:space="preserve"> r</w:t>
      </w:r>
      <w:r w:rsidR="00C93943" w:rsidRPr="00FF7528">
        <w:rPr>
          <w:rFonts w:ascii="Palatino Linotype" w:hAnsi="Palatino Linotype"/>
        </w:rPr>
        <w:t xml:space="preserve">espectivo, con lo cual </w:t>
      </w:r>
      <w:r w:rsidR="00004F50" w:rsidRPr="00FF7528">
        <w:rPr>
          <w:rFonts w:ascii="Palatino Linotype" w:hAnsi="Palatino Linotype"/>
        </w:rPr>
        <w:t>el máximo Tribunal Constitucional de nuestro</w:t>
      </w:r>
      <w:r w:rsidR="00C93943" w:rsidRPr="00FF7528">
        <w:rPr>
          <w:rFonts w:ascii="Palatino Linotype" w:hAnsi="Palatino Linotype"/>
        </w:rPr>
        <w:t xml:space="preserve"> país </w:t>
      </w:r>
      <w:r w:rsidR="00004F50" w:rsidRPr="00FF7528">
        <w:rPr>
          <w:rFonts w:ascii="Palatino Linotype" w:hAnsi="Palatino Linotype"/>
        </w:rPr>
        <w:t xml:space="preserve">determinó por unanimidad -diez ministros de los once- que la Ley General de Responsabilidades Administrativas prevalecía y </w:t>
      </w:r>
      <w:r w:rsidR="00C93943" w:rsidRPr="00FF7528">
        <w:rPr>
          <w:rFonts w:ascii="Palatino Linotype" w:hAnsi="Palatino Linotype"/>
        </w:rPr>
        <w:t>los art</w:t>
      </w:r>
      <w:r w:rsidR="00DA3235" w:rsidRPr="00FF7528">
        <w:rPr>
          <w:rFonts w:ascii="Palatino Linotype" w:hAnsi="Palatino Linotype"/>
        </w:rPr>
        <w:t xml:space="preserve">ículos citados; que los formatos de declaraciones patrimoniales y de intereses, tendría </w:t>
      </w:r>
      <w:r w:rsidR="00004F50" w:rsidRPr="00FF7528">
        <w:rPr>
          <w:rFonts w:ascii="Palatino Linotype" w:hAnsi="Palatino Linotype"/>
        </w:rPr>
        <w:t>que emitir</w:t>
      </w:r>
      <w:r w:rsidR="00DA3235" w:rsidRPr="00FF7528">
        <w:rPr>
          <w:rFonts w:ascii="Palatino Linotype" w:hAnsi="Palatino Linotype"/>
        </w:rPr>
        <w:t xml:space="preserve">los </w:t>
      </w:r>
      <w:r w:rsidR="00004F50" w:rsidRPr="00FF7528">
        <w:rPr>
          <w:rFonts w:ascii="Palatino Linotype" w:hAnsi="Palatino Linotype"/>
        </w:rPr>
        <w:t xml:space="preserve">el </w:t>
      </w:r>
      <w:r w:rsidR="00130C6B" w:rsidRPr="00FF7528">
        <w:rPr>
          <w:rFonts w:ascii="Palatino Linotype" w:hAnsi="Palatino Linotype"/>
        </w:rPr>
        <w:t>“</w:t>
      </w:r>
      <w:r w:rsidR="00004F50" w:rsidRPr="00FF7528">
        <w:rPr>
          <w:rFonts w:ascii="Palatino Linotype" w:hAnsi="Palatino Linotype"/>
        </w:rPr>
        <w:t>Comité Coordinador del Sistema Nacional Anticorrupción</w:t>
      </w:r>
      <w:r w:rsidR="00130C6B" w:rsidRPr="00FF7528">
        <w:rPr>
          <w:rFonts w:ascii="Palatino Linotype" w:hAnsi="Palatino Linotype"/>
        </w:rPr>
        <w:t>”</w:t>
      </w:r>
      <w:r w:rsidR="00DA3235" w:rsidRPr="00FF7528">
        <w:rPr>
          <w:rFonts w:ascii="Palatino Linotype" w:hAnsi="Palatino Linotype"/>
        </w:rPr>
        <w:t>, prevaleciendo la s</w:t>
      </w:r>
      <w:r w:rsidR="00004F50" w:rsidRPr="00FF7528">
        <w:rPr>
          <w:rFonts w:ascii="Palatino Linotype" w:hAnsi="Palatino Linotype"/>
        </w:rPr>
        <w:t xml:space="preserve">encilla razón de que estos formatos serían determinados por </w:t>
      </w:r>
      <w:r w:rsidR="00DA3235" w:rsidRPr="00FF7528">
        <w:rPr>
          <w:rFonts w:ascii="Palatino Linotype" w:hAnsi="Palatino Linotype"/>
        </w:rPr>
        <w:t xml:space="preserve">dicha </w:t>
      </w:r>
      <w:r w:rsidR="00004F50" w:rsidRPr="00FF7528">
        <w:rPr>
          <w:rFonts w:ascii="Palatino Linotype" w:hAnsi="Palatino Linotype"/>
        </w:rPr>
        <w:t xml:space="preserve">instancia conformada por siete instituciones para determinar cuáles serían los formatos </w:t>
      </w:r>
      <w:r w:rsidR="00DA3235" w:rsidRPr="00FF7528">
        <w:rPr>
          <w:rFonts w:ascii="Palatino Linotype" w:hAnsi="Palatino Linotype"/>
        </w:rPr>
        <w:t>q</w:t>
      </w:r>
      <w:r w:rsidR="00004F50" w:rsidRPr="00FF7528">
        <w:rPr>
          <w:rFonts w:ascii="Palatino Linotype" w:hAnsi="Palatino Linotype"/>
        </w:rPr>
        <w:t>ue atenderían las declaraciones patrimoniales y de intereses</w:t>
      </w:r>
      <w:r w:rsidR="00DA3235" w:rsidRPr="00FF7528">
        <w:rPr>
          <w:rFonts w:ascii="Palatino Linotype" w:hAnsi="Palatino Linotype"/>
        </w:rPr>
        <w:t xml:space="preserve"> referidos</w:t>
      </w:r>
      <w:r w:rsidR="00004F50" w:rsidRPr="00FF7528">
        <w:rPr>
          <w:rFonts w:ascii="Palatino Linotype" w:hAnsi="Palatino Linotype"/>
        </w:rPr>
        <w:t xml:space="preserve">. </w:t>
      </w:r>
    </w:p>
    <w:p w:rsidR="00004F50" w:rsidRPr="00FF7528" w:rsidRDefault="00DA3235" w:rsidP="007A4602">
      <w:pPr>
        <w:spacing w:line="360" w:lineRule="auto"/>
        <w:jc w:val="both"/>
        <w:rPr>
          <w:rFonts w:ascii="Palatino Linotype" w:hAnsi="Palatino Linotype"/>
        </w:rPr>
      </w:pPr>
      <w:r w:rsidRPr="00FF7528">
        <w:rPr>
          <w:rFonts w:ascii="Palatino Linotype" w:hAnsi="Palatino Linotype"/>
        </w:rPr>
        <w:t xml:space="preserve">Es muy clara la </w:t>
      </w:r>
      <w:r w:rsidR="00DC5C43" w:rsidRPr="00FF7528">
        <w:rPr>
          <w:rFonts w:ascii="Palatino Linotype" w:hAnsi="Palatino Linotype"/>
        </w:rPr>
        <w:t>e</w:t>
      </w:r>
      <w:r w:rsidR="00004F50" w:rsidRPr="00FF7528">
        <w:rPr>
          <w:rFonts w:ascii="Palatino Linotype" w:hAnsi="Palatino Linotype"/>
        </w:rPr>
        <w:t xml:space="preserve">xposición por parte del Ministro </w:t>
      </w:r>
      <w:proofErr w:type="spellStart"/>
      <w:r w:rsidR="00004F50" w:rsidRPr="00FF7528">
        <w:rPr>
          <w:rFonts w:ascii="Palatino Linotype" w:hAnsi="Palatino Linotype"/>
        </w:rPr>
        <w:t>Cossio</w:t>
      </w:r>
      <w:proofErr w:type="spellEnd"/>
      <w:r w:rsidR="00DC5C43" w:rsidRPr="00FF7528">
        <w:rPr>
          <w:rFonts w:ascii="Palatino Linotype" w:hAnsi="Palatino Linotype"/>
        </w:rPr>
        <w:t xml:space="preserve">, quien </w:t>
      </w:r>
      <w:r w:rsidR="00004F50" w:rsidRPr="00FF7528">
        <w:rPr>
          <w:rFonts w:ascii="Palatino Linotype" w:hAnsi="Palatino Linotype"/>
        </w:rPr>
        <w:t>nos plantea que en algún momento esos formatos tienen que respetar y hacer valer lo que por principio maneja</w:t>
      </w:r>
      <w:r w:rsidR="00DC5C43" w:rsidRPr="00FF7528">
        <w:rPr>
          <w:rFonts w:ascii="Palatino Linotype" w:hAnsi="Palatino Linotype"/>
        </w:rPr>
        <w:t xml:space="preserve">, </w:t>
      </w:r>
      <w:r w:rsidR="00004F50" w:rsidRPr="00FF7528">
        <w:rPr>
          <w:rFonts w:ascii="Palatino Linotype" w:hAnsi="Palatino Linotype"/>
        </w:rPr>
        <w:t>como restricción en materia</w:t>
      </w:r>
      <w:r w:rsidR="00DC5C43" w:rsidRPr="00FF7528">
        <w:rPr>
          <w:rFonts w:ascii="Palatino Linotype" w:hAnsi="Palatino Linotype"/>
        </w:rPr>
        <w:t xml:space="preserve"> de a</w:t>
      </w:r>
      <w:r w:rsidR="00004F50" w:rsidRPr="00FF7528">
        <w:rPr>
          <w:rFonts w:ascii="Palatino Linotype" w:hAnsi="Palatino Linotype"/>
        </w:rPr>
        <w:t>cceso a la información pública</w:t>
      </w:r>
      <w:r w:rsidR="00DC5C43" w:rsidRPr="00FF7528">
        <w:rPr>
          <w:rFonts w:ascii="Palatino Linotype" w:hAnsi="Palatino Linotype"/>
        </w:rPr>
        <w:t xml:space="preserve">, aquello que </w:t>
      </w:r>
      <w:r w:rsidR="00004F50" w:rsidRPr="00FF7528">
        <w:rPr>
          <w:rFonts w:ascii="Palatino Linotype" w:hAnsi="Palatino Linotype"/>
        </w:rPr>
        <w:t xml:space="preserve">ponga en riesgo la integridad de la persona, o bien, </w:t>
      </w:r>
      <w:r w:rsidR="00DC5C43" w:rsidRPr="00FF7528">
        <w:rPr>
          <w:rFonts w:ascii="Palatino Linotype" w:hAnsi="Palatino Linotype"/>
        </w:rPr>
        <w:t xml:space="preserve">invada </w:t>
      </w:r>
      <w:r w:rsidR="00004F50" w:rsidRPr="00FF7528">
        <w:rPr>
          <w:rFonts w:ascii="Palatino Linotype" w:hAnsi="Palatino Linotype"/>
        </w:rPr>
        <w:t>otro derecho</w:t>
      </w:r>
      <w:r w:rsidR="00DC5C43" w:rsidRPr="00FF7528">
        <w:rPr>
          <w:rFonts w:ascii="Palatino Linotype" w:hAnsi="Palatino Linotype"/>
        </w:rPr>
        <w:t xml:space="preserve"> </w:t>
      </w:r>
      <w:r w:rsidR="00004F50" w:rsidRPr="00FF7528">
        <w:rPr>
          <w:rFonts w:ascii="Palatino Linotype" w:hAnsi="Palatino Linotype"/>
        </w:rPr>
        <w:t>fundamental como es la protección de los datos personales</w:t>
      </w:r>
      <w:r w:rsidR="00DC5C43" w:rsidRPr="00FF7528">
        <w:rPr>
          <w:rFonts w:ascii="Palatino Linotype" w:hAnsi="Palatino Linotype"/>
        </w:rPr>
        <w:t xml:space="preserve">, </w:t>
      </w:r>
      <w:r w:rsidR="00004F50" w:rsidRPr="00FF7528">
        <w:rPr>
          <w:rFonts w:ascii="Palatino Linotype" w:hAnsi="Palatino Linotype"/>
        </w:rPr>
        <w:t xml:space="preserve">esa protección a la privacidad. </w:t>
      </w:r>
    </w:p>
    <w:p w:rsidR="00004F50" w:rsidRPr="00FF7528" w:rsidRDefault="00DC5C43" w:rsidP="007A4602">
      <w:pPr>
        <w:spacing w:line="360" w:lineRule="auto"/>
        <w:jc w:val="both"/>
        <w:rPr>
          <w:rFonts w:ascii="Palatino Linotype" w:hAnsi="Palatino Linotype"/>
        </w:rPr>
      </w:pPr>
      <w:r w:rsidRPr="00FF7528">
        <w:rPr>
          <w:rFonts w:ascii="Palatino Linotype" w:hAnsi="Palatino Linotype"/>
        </w:rPr>
        <w:t>En ese tenor</w:t>
      </w:r>
      <w:r w:rsidR="007B66D8" w:rsidRPr="00FF7528">
        <w:rPr>
          <w:rFonts w:ascii="Palatino Linotype" w:hAnsi="Palatino Linotype"/>
        </w:rPr>
        <w:t>,</w:t>
      </w:r>
      <w:r w:rsidRPr="00FF7528">
        <w:rPr>
          <w:rFonts w:ascii="Palatino Linotype" w:hAnsi="Palatino Linotype"/>
        </w:rPr>
        <w:t xml:space="preserve"> es preciso mencionar que </w:t>
      </w:r>
      <w:r w:rsidR="00004F50" w:rsidRPr="00FF7528">
        <w:rPr>
          <w:rFonts w:ascii="Palatino Linotype" w:hAnsi="Palatino Linotype"/>
        </w:rPr>
        <w:t xml:space="preserve">el </w:t>
      </w:r>
      <w:r w:rsidR="00873A75" w:rsidRPr="00FF7528">
        <w:rPr>
          <w:rFonts w:ascii="Palatino Linotype" w:hAnsi="Palatino Linotype"/>
        </w:rPr>
        <w:t xml:space="preserve">Comité Coordinador, con sede en el INAI, sesionó el día </w:t>
      </w:r>
      <w:r w:rsidRPr="00FF7528">
        <w:rPr>
          <w:rFonts w:ascii="Palatino Linotype" w:hAnsi="Palatino Linotype"/>
        </w:rPr>
        <w:t xml:space="preserve">trece de </w:t>
      </w:r>
      <w:r w:rsidR="00004F50" w:rsidRPr="00FF7528">
        <w:rPr>
          <w:rFonts w:ascii="Palatino Linotype" w:hAnsi="Palatino Linotype"/>
        </w:rPr>
        <w:t xml:space="preserve">septiembre de </w:t>
      </w:r>
      <w:r w:rsidRPr="00FF7528">
        <w:rPr>
          <w:rFonts w:ascii="Palatino Linotype" w:hAnsi="Palatino Linotype"/>
        </w:rPr>
        <w:t xml:space="preserve">dos mil dieciocho, </w:t>
      </w:r>
      <w:r w:rsidR="00873A75" w:rsidRPr="00FF7528">
        <w:rPr>
          <w:rFonts w:ascii="Palatino Linotype" w:hAnsi="Palatino Linotype"/>
        </w:rPr>
        <w:t xml:space="preserve">sesión en la que </w:t>
      </w:r>
      <w:r w:rsidR="00004F50" w:rsidRPr="00FF7528">
        <w:rPr>
          <w:rFonts w:ascii="Palatino Linotype" w:hAnsi="Palatino Linotype"/>
        </w:rPr>
        <w:t xml:space="preserve">emitieron y se aprobaron los formatos que darían vida a la nueva vigencia de publicidad que tendrían </w:t>
      </w:r>
      <w:r w:rsidR="00873A75" w:rsidRPr="00FF7528">
        <w:rPr>
          <w:rFonts w:ascii="Palatino Linotype" w:hAnsi="Palatino Linotype"/>
        </w:rPr>
        <w:t xml:space="preserve">las </w:t>
      </w:r>
      <w:r w:rsidR="00004F50" w:rsidRPr="00FF7528">
        <w:rPr>
          <w:rFonts w:ascii="Palatino Linotype" w:hAnsi="Palatino Linotype"/>
        </w:rPr>
        <w:t xml:space="preserve">declaraciones patrimoniales y de intereses. </w:t>
      </w:r>
    </w:p>
    <w:p w:rsidR="00004F50" w:rsidRPr="00FF7528" w:rsidRDefault="00873A75" w:rsidP="007A4602">
      <w:pPr>
        <w:spacing w:line="360" w:lineRule="auto"/>
        <w:jc w:val="both"/>
        <w:rPr>
          <w:rFonts w:ascii="Palatino Linotype" w:hAnsi="Palatino Linotype"/>
        </w:rPr>
      </w:pPr>
      <w:r w:rsidRPr="00FF7528">
        <w:rPr>
          <w:rFonts w:ascii="Palatino Linotype" w:hAnsi="Palatino Linotype"/>
        </w:rPr>
        <w:t>E</w:t>
      </w:r>
      <w:r w:rsidR="00004F50" w:rsidRPr="00FF7528">
        <w:rPr>
          <w:rFonts w:ascii="Palatino Linotype" w:hAnsi="Palatino Linotype"/>
        </w:rPr>
        <w:t>n torno a ese planteamiento, como punto catorce</w:t>
      </w:r>
      <w:r w:rsidRPr="00FF7528">
        <w:rPr>
          <w:rFonts w:ascii="Palatino Linotype" w:hAnsi="Palatino Linotype"/>
        </w:rPr>
        <w:t xml:space="preserve"> de la sesión se estableció la discusión, </w:t>
      </w:r>
      <w:r w:rsidR="00004F50" w:rsidRPr="00FF7528">
        <w:rPr>
          <w:rFonts w:ascii="Palatino Linotype" w:hAnsi="Palatino Linotype"/>
        </w:rPr>
        <w:t xml:space="preserve">seguimiento y en su caso, </w:t>
      </w:r>
      <w:r w:rsidR="00171A10" w:rsidRPr="00FF7528">
        <w:rPr>
          <w:rFonts w:ascii="Palatino Linotype" w:hAnsi="Palatino Linotype"/>
        </w:rPr>
        <w:t xml:space="preserve">la </w:t>
      </w:r>
      <w:r w:rsidR="00004F50" w:rsidRPr="00FF7528">
        <w:rPr>
          <w:rFonts w:ascii="Palatino Linotype" w:hAnsi="Palatino Linotype"/>
        </w:rPr>
        <w:t xml:space="preserve">aprobación del formato nacional para la declaración patrimonial y de intereses propuesto por el Comité de Participación Ciudadana. </w:t>
      </w:r>
    </w:p>
    <w:p w:rsidR="00C2770E" w:rsidRPr="00FF7528" w:rsidRDefault="00C95B9D" w:rsidP="00C2770E">
      <w:pPr>
        <w:spacing w:line="360" w:lineRule="auto"/>
        <w:jc w:val="both"/>
        <w:rPr>
          <w:rFonts w:ascii="Palatino Linotype" w:hAnsi="Palatino Linotype"/>
        </w:rPr>
      </w:pPr>
      <w:r w:rsidRPr="00FF7528">
        <w:rPr>
          <w:rFonts w:ascii="Palatino Linotype" w:hAnsi="Palatino Linotype"/>
        </w:rPr>
        <w:t xml:space="preserve">En torno a este punto, </w:t>
      </w:r>
      <w:r w:rsidR="00004F50" w:rsidRPr="00FF7528">
        <w:rPr>
          <w:rFonts w:ascii="Palatino Linotype" w:hAnsi="Palatino Linotype"/>
        </w:rPr>
        <w:t xml:space="preserve">se hace presente </w:t>
      </w:r>
      <w:r w:rsidRPr="00FF7528">
        <w:rPr>
          <w:rFonts w:ascii="Palatino Linotype" w:hAnsi="Palatino Linotype"/>
        </w:rPr>
        <w:t xml:space="preserve">la </w:t>
      </w:r>
      <w:r w:rsidR="00004F50" w:rsidRPr="00FF7528">
        <w:rPr>
          <w:rFonts w:ascii="Palatino Linotype" w:hAnsi="Palatino Linotype"/>
        </w:rPr>
        <w:t xml:space="preserve">inquietud que </w:t>
      </w:r>
      <w:r w:rsidRPr="00FF7528">
        <w:rPr>
          <w:rFonts w:ascii="Palatino Linotype" w:hAnsi="Palatino Linotype"/>
        </w:rPr>
        <w:t xml:space="preserve">expongo, toda vez que el Doctor </w:t>
      </w:r>
      <w:r w:rsidR="00004F50" w:rsidRPr="00FF7528">
        <w:rPr>
          <w:rFonts w:ascii="Palatino Linotype" w:hAnsi="Palatino Linotype"/>
        </w:rPr>
        <w:t xml:space="preserve">Francisco Acuña hace un pronunciamiento respecto a lo que debe de considerarse </w:t>
      </w:r>
      <w:r w:rsidR="006827F2" w:rsidRPr="00FF7528">
        <w:rPr>
          <w:rFonts w:ascii="Palatino Linotype" w:hAnsi="Palatino Linotype"/>
        </w:rPr>
        <w:t xml:space="preserve">en </w:t>
      </w:r>
      <w:r w:rsidR="00004F50" w:rsidRPr="00FF7528">
        <w:rPr>
          <w:rFonts w:ascii="Palatino Linotype" w:hAnsi="Palatino Linotype"/>
        </w:rPr>
        <w:t xml:space="preserve">la </w:t>
      </w:r>
      <w:r w:rsidR="00004F50" w:rsidRPr="00FF7528">
        <w:rPr>
          <w:rFonts w:ascii="Palatino Linotype" w:hAnsi="Palatino Linotype"/>
        </w:rPr>
        <w:lastRenderedPageBreak/>
        <w:t>presentación de los formatos</w:t>
      </w:r>
      <w:r w:rsidR="006827F2" w:rsidRPr="00FF7528">
        <w:rPr>
          <w:rFonts w:ascii="Palatino Linotype" w:hAnsi="Palatino Linotype"/>
        </w:rPr>
        <w:t xml:space="preserve">, </w:t>
      </w:r>
      <w:r w:rsidR="00226985" w:rsidRPr="00FF7528">
        <w:rPr>
          <w:rFonts w:ascii="Palatino Linotype" w:hAnsi="Palatino Linotype"/>
        </w:rPr>
        <w:t xml:space="preserve">mencionando </w:t>
      </w:r>
      <w:r w:rsidR="006827F2" w:rsidRPr="00FF7528">
        <w:rPr>
          <w:rFonts w:ascii="Palatino Linotype" w:hAnsi="Palatino Linotype"/>
        </w:rPr>
        <w:t xml:space="preserve">que </w:t>
      </w:r>
      <w:r w:rsidR="00004F50" w:rsidRPr="00FF7528">
        <w:rPr>
          <w:rFonts w:ascii="Palatino Linotype" w:hAnsi="Palatino Linotype"/>
        </w:rPr>
        <w:t>también deben presentarse estas declaraciones</w:t>
      </w:r>
      <w:r w:rsidR="00802DA8" w:rsidRPr="00FF7528">
        <w:rPr>
          <w:rFonts w:ascii="Palatino Linotype" w:hAnsi="Palatino Linotype"/>
        </w:rPr>
        <w:t xml:space="preserve"> con información </w:t>
      </w:r>
      <w:r w:rsidR="007B1FFA" w:rsidRPr="00FF7528">
        <w:rPr>
          <w:rFonts w:ascii="Palatino Linotype" w:hAnsi="Palatino Linotype"/>
        </w:rPr>
        <w:t>relaciona</w:t>
      </w:r>
      <w:r w:rsidR="00802DA8" w:rsidRPr="00FF7528">
        <w:rPr>
          <w:rFonts w:ascii="Palatino Linotype" w:hAnsi="Palatino Linotype"/>
        </w:rPr>
        <w:t>da</w:t>
      </w:r>
      <w:r w:rsidR="007B1FFA" w:rsidRPr="00FF7528">
        <w:rPr>
          <w:rFonts w:ascii="Palatino Linotype" w:hAnsi="Palatino Linotype"/>
        </w:rPr>
        <w:t xml:space="preserve"> con </w:t>
      </w:r>
      <w:r w:rsidR="00004F50" w:rsidRPr="00FF7528">
        <w:rPr>
          <w:rFonts w:ascii="Palatino Linotype" w:hAnsi="Palatino Linotype"/>
        </w:rPr>
        <w:t xml:space="preserve"> familiares.</w:t>
      </w:r>
      <w:r w:rsidR="00390A1D" w:rsidRPr="00FF7528">
        <w:rPr>
          <w:rStyle w:val="Refdenotaalpie"/>
          <w:rFonts w:ascii="Palatino Linotype" w:hAnsi="Palatino Linotype"/>
        </w:rPr>
        <w:footnoteReference w:id="3"/>
      </w:r>
      <w:r w:rsidR="00004F50" w:rsidRPr="00FF7528">
        <w:rPr>
          <w:rFonts w:ascii="Palatino Linotype" w:hAnsi="Palatino Linotype"/>
        </w:rPr>
        <w:t xml:space="preserve"> </w:t>
      </w:r>
    </w:p>
    <w:p w:rsidR="00004F50" w:rsidRPr="00FF7528" w:rsidRDefault="00004F50" w:rsidP="00C2770E">
      <w:pPr>
        <w:spacing w:line="360" w:lineRule="auto"/>
        <w:jc w:val="both"/>
        <w:rPr>
          <w:rFonts w:ascii="Palatino Linotype" w:hAnsi="Palatino Linotype"/>
        </w:rPr>
      </w:pPr>
      <w:r w:rsidRPr="00FF7528">
        <w:rPr>
          <w:rFonts w:ascii="Palatino Linotype" w:hAnsi="Palatino Linotype"/>
        </w:rPr>
        <w:t xml:space="preserve">También hace un pronunciamiento respecto al tema de </w:t>
      </w:r>
      <w:r w:rsidR="006827F2" w:rsidRPr="00FF7528">
        <w:rPr>
          <w:rFonts w:ascii="Palatino Linotype" w:hAnsi="Palatino Linotype"/>
        </w:rPr>
        <w:t xml:space="preserve">la </w:t>
      </w:r>
      <w:r w:rsidRPr="00FF7528">
        <w:rPr>
          <w:rFonts w:ascii="Palatino Linotype" w:hAnsi="Palatino Linotype"/>
        </w:rPr>
        <w:t>información que se tiene que agregar respecto a los campos a cubrir, y habla de adherir a los más de quinientos campos</w:t>
      </w:r>
      <w:r w:rsidR="006827F2" w:rsidRPr="00FF7528">
        <w:rPr>
          <w:rFonts w:ascii="Palatino Linotype" w:hAnsi="Palatino Linotype"/>
        </w:rPr>
        <w:t xml:space="preserve">, </w:t>
      </w:r>
      <w:r w:rsidRPr="00FF7528">
        <w:rPr>
          <w:rFonts w:ascii="Palatino Linotype" w:hAnsi="Palatino Linotype"/>
        </w:rPr>
        <w:t xml:space="preserve"> ciento diecisiete campos más, manifestando en su momento que esto precisamente po</w:t>
      </w:r>
      <w:r w:rsidR="00230241" w:rsidRPr="00FF7528">
        <w:rPr>
          <w:rFonts w:ascii="Palatino Linotype" w:hAnsi="Palatino Linotype"/>
        </w:rPr>
        <w:t>n</w:t>
      </w:r>
      <w:r w:rsidRPr="00FF7528">
        <w:rPr>
          <w:rFonts w:ascii="Palatino Linotype" w:hAnsi="Palatino Linotype"/>
        </w:rPr>
        <w:t xml:space="preserve">dría en algún momento dado dar la posibilidad de presentar mayor información. </w:t>
      </w:r>
      <w:r w:rsidR="002631B7" w:rsidRPr="00FF7528">
        <w:rPr>
          <w:rStyle w:val="Refdenotaalpie"/>
          <w:rFonts w:ascii="Palatino Linotype" w:hAnsi="Palatino Linotype"/>
        </w:rPr>
        <w:footnoteReference w:id="4"/>
      </w:r>
    </w:p>
    <w:p w:rsidR="00267A2F" w:rsidRPr="00FF7528" w:rsidRDefault="00C2770E" w:rsidP="00004F50">
      <w:pPr>
        <w:spacing w:before="240" w:after="240" w:line="360" w:lineRule="auto"/>
        <w:jc w:val="both"/>
        <w:rPr>
          <w:rFonts w:ascii="Palatino Linotype" w:hAnsi="Palatino Linotype"/>
        </w:rPr>
      </w:pPr>
      <w:r w:rsidRPr="00FF7528">
        <w:rPr>
          <w:rFonts w:ascii="Palatino Linotype" w:hAnsi="Palatino Linotype"/>
        </w:rPr>
        <w:t xml:space="preserve">En cuanto a </w:t>
      </w:r>
      <w:r w:rsidR="005C5351" w:rsidRPr="00FF7528">
        <w:rPr>
          <w:rFonts w:ascii="Palatino Linotype" w:hAnsi="Palatino Linotype"/>
        </w:rPr>
        <w:t xml:space="preserve">la </w:t>
      </w:r>
      <w:r w:rsidRPr="00FF7528">
        <w:rPr>
          <w:rFonts w:ascii="Palatino Linotype" w:hAnsi="Palatino Linotype"/>
        </w:rPr>
        <w:t>intervención</w:t>
      </w:r>
      <w:r w:rsidR="007B1FFA" w:rsidRPr="00FF7528">
        <w:rPr>
          <w:rFonts w:ascii="Palatino Linotype" w:hAnsi="Palatino Linotype"/>
        </w:rPr>
        <w:t xml:space="preserve"> del Presidente Acuña</w:t>
      </w:r>
      <w:r w:rsidR="00DA661E" w:rsidRPr="00FF7528">
        <w:rPr>
          <w:rFonts w:ascii="Palatino Linotype" w:hAnsi="Palatino Linotype"/>
        </w:rPr>
        <w:t>,</w:t>
      </w:r>
      <w:r w:rsidR="007B1FFA" w:rsidRPr="00FF7528">
        <w:rPr>
          <w:rFonts w:ascii="Palatino Linotype" w:hAnsi="Palatino Linotype"/>
        </w:rPr>
        <w:t xml:space="preserve"> relacionada con la publicidad de los bienes de familiares, cónyuges, hijos  y concubinarios, </w:t>
      </w:r>
      <w:r w:rsidR="00267A2F" w:rsidRPr="00FF7528">
        <w:rPr>
          <w:rFonts w:ascii="Palatino Linotype" w:hAnsi="Palatino Linotype"/>
        </w:rPr>
        <w:t xml:space="preserve"> es un tema preocupante, toda vez </w:t>
      </w:r>
      <w:r w:rsidR="00267A2F" w:rsidRPr="00FF7528">
        <w:rPr>
          <w:rFonts w:ascii="Palatino Linotype" w:hAnsi="Palatino Linotype"/>
        </w:rPr>
        <w:lastRenderedPageBreak/>
        <w:t xml:space="preserve">que </w:t>
      </w:r>
      <w:r w:rsidR="00004F50" w:rsidRPr="00FF7528">
        <w:rPr>
          <w:rFonts w:ascii="Palatino Linotype" w:hAnsi="Palatino Linotype"/>
        </w:rPr>
        <w:t xml:space="preserve">él habla de una ponderación que valoró el interés público sobre el tema de la protección de los datos personales. </w:t>
      </w:r>
    </w:p>
    <w:p w:rsidR="00EA2D41" w:rsidRPr="00FF7528" w:rsidRDefault="00004F50" w:rsidP="00004F50">
      <w:pPr>
        <w:spacing w:before="240" w:after="240" w:line="360" w:lineRule="auto"/>
        <w:jc w:val="both"/>
        <w:rPr>
          <w:rFonts w:ascii="Palatino Linotype" w:hAnsi="Palatino Linotype"/>
        </w:rPr>
      </w:pPr>
      <w:r w:rsidRPr="00FF7528">
        <w:rPr>
          <w:rFonts w:ascii="Palatino Linotype" w:hAnsi="Palatino Linotype"/>
        </w:rPr>
        <w:t>Obviamente</w:t>
      </w:r>
      <w:r w:rsidR="00C42BCD" w:rsidRPr="00FF7528">
        <w:rPr>
          <w:rFonts w:ascii="Palatino Linotype" w:hAnsi="Palatino Linotype"/>
        </w:rPr>
        <w:t>, al ser el Ó</w:t>
      </w:r>
      <w:r w:rsidRPr="00FF7528">
        <w:rPr>
          <w:rFonts w:ascii="Palatino Linotype" w:hAnsi="Palatino Linotype"/>
        </w:rPr>
        <w:t>rgano nacional y quien preside el Sistema Nacional de Transparencia y Protección de Datos Personales</w:t>
      </w:r>
      <w:r w:rsidR="00267A2F" w:rsidRPr="00FF7528">
        <w:rPr>
          <w:rFonts w:ascii="Palatino Linotype" w:hAnsi="Palatino Linotype"/>
        </w:rPr>
        <w:t xml:space="preserve">, </w:t>
      </w:r>
      <w:r w:rsidRPr="00FF7528">
        <w:rPr>
          <w:rFonts w:ascii="Palatino Linotype" w:hAnsi="Palatino Linotype"/>
        </w:rPr>
        <w:t xml:space="preserve">para nosotros </w:t>
      </w:r>
      <w:r w:rsidR="00267A2F" w:rsidRPr="00FF7528">
        <w:rPr>
          <w:rFonts w:ascii="Palatino Linotype" w:hAnsi="Palatino Linotype"/>
        </w:rPr>
        <w:t>sería importante saber cuál es é</w:t>
      </w:r>
      <w:r w:rsidRPr="00FF7528">
        <w:rPr>
          <w:rFonts w:ascii="Palatino Linotype" w:hAnsi="Palatino Linotype"/>
        </w:rPr>
        <w:t>sta ponderación para v</w:t>
      </w:r>
      <w:r w:rsidR="00267A2F" w:rsidRPr="00FF7528">
        <w:rPr>
          <w:rFonts w:ascii="Palatino Linotype" w:hAnsi="Palatino Linotype"/>
        </w:rPr>
        <w:t>alorar,</w:t>
      </w:r>
      <w:r w:rsidRPr="00FF7528">
        <w:rPr>
          <w:rFonts w:ascii="Palatino Linotype" w:hAnsi="Palatino Linotype"/>
        </w:rPr>
        <w:t xml:space="preserve"> si ante </w:t>
      </w:r>
      <w:r w:rsidR="00267A2F" w:rsidRPr="00FF7528">
        <w:rPr>
          <w:rFonts w:ascii="Palatino Linotype" w:hAnsi="Palatino Linotype"/>
        </w:rPr>
        <w:t xml:space="preserve">lo </w:t>
      </w:r>
      <w:r w:rsidRPr="00FF7528">
        <w:rPr>
          <w:rFonts w:ascii="Palatino Linotype" w:hAnsi="Palatino Linotype"/>
        </w:rPr>
        <w:t>mandatado</w:t>
      </w:r>
      <w:r w:rsidR="00267A2F" w:rsidRPr="00FF7528">
        <w:rPr>
          <w:rFonts w:ascii="Palatino Linotype" w:hAnsi="Palatino Linotype"/>
        </w:rPr>
        <w:t xml:space="preserve"> por </w:t>
      </w:r>
      <w:r w:rsidRPr="00FF7528">
        <w:rPr>
          <w:rFonts w:ascii="Palatino Linotype" w:hAnsi="Palatino Linotype"/>
        </w:rPr>
        <w:t>la Suprema Corte de Justicia</w:t>
      </w:r>
      <w:r w:rsidR="00267A2F" w:rsidRPr="00FF7528">
        <w:rPr>
          <w:rFonts w:ascii="Palatino Linotype" w:hAnsi="Palatino Linotype"/>
        </w:rPr>
        <w:t>,</w:t>
      </w:r>
      <w:r w:rsidRPr="00FF7528">
        <w:rPr>
          <w:rFonts w:ascii="Palatino Linotype" w:hAnsi="Palatino Linotype"/>
        </w:rPr>
        <w:t xml:space="preserve"> no estamos </w:t>
      </w:r>
      <w:r w:rsidR="00C42BCD" w:rsidRPr="00FF7528">
        <w:rPr>
          <w:rFonts w:ascii="Palatino Linotype" w:hAnsi="Palatino Linotype"/>
        </w:rPr>
        <w:t>con é</w:t>
      </w:r>
      <w:r w:rsidRPr="00FF7528">
        <w:rPr>
          <w:rFonts w:ascii="Palatino Linotype" w:hAnsi="Palatino Linotype"/>
        </w:rPr>
        <w:t>stos formatos</w:t>
      </w:r>
      <w:r w:rsidR="00267A2F" w:rsidRPr="00FF7528">
        <w:rPr>
          <w:rFonts w:ascii="Palatino Linotype" w:hAnsi="Palatino Linotype"/>
        </w:rPr>
        <w:t>,</w:t>
      </w:r>
      <w:r w:rsidRPr="00FF7528">
        <w:rPr>
          <w:rFonts w:ascii="Palatino Linotype" w:hAnsi="Palatino Linotype"/>
        </w:rPr>
        <w:t xml:space="preserve"> violentando o poniendo en riesgo la integridad de la persona, o bien, estamos violentado otro derecho fundamental</w:t>
      </w:r>
      <w:r w:rsidR="005C5351" w:rsidRPr="00FF7528">
        <w:rPr>
          <w:rFonts w:ascii="Palatino Linotype" w:hAnsi="Palatino Linotype"/>
        </w:rPr>
        <w:t>, com</w:t>
      </w:r>
      <w:r w:rsidR="005A5F0A" w:rsidRPr="00FF7528">
        <w:rPr>
          <w:rFonts w:ascii="Palatino Linotype" w:hAnsi="Palatino Linotype"/>
        </w:rPr>
        <w:t>o</w:t>
      </w:r>
      <w:r w:rsidR="005C5351" w:rsidRPr="00FF7528">
        <w:rPr>
          <w:rFonts w:ascii="Palatino Linotype" w:hAnsi="Palatino Linotype"/>
        </w:rPr>
        <w:t xml:space="preserve"> lo es </w:t>
      </w:r>
      <w:r w:rsidRPr="00FF7528">
        <w:rPr>
          <w:rFonts w:ascii="Palatino Linotype" w:hAnsi="Palatino Linotype"/>
        </w:rPr>
        <w:t>la pro</w:t>
      </w:r>
      <w:r w:rsidR="00267A2F" w:rsidRPr="00FF7528">
        <w:rPr>
          <w:rFonts w:ascii="Palatino Linotype" w:hAnsi="Palatino Linotype"/>
        </w:rPr>
        <w:t>tección de los datos personales, toda vez que e</w:t>
      </w:r>
      <w:r w:rsidRPr="00FF7528">
        <w:rPr>
          <w:rFonts w:ascii="Palatino Linotype" w:hAnsi="Palatino Linotype"/>
        </w:rPr>
        <w:t xml:space="preserve">stamos hablando de más de quinientos campos de registro en </w:t>
      </w:r>
      <w:r w:rsidR="008459EE" w:rsidRPr="00FF7528">
        <w:rPr>
          <w:rFonts w:ascii="Palatino Linotype" w:hAnsi="Palatino Linotype"/>
        </w:rPr>
        <w:t xml:space="preserve">dicho </w:t>
      </w:r>
      <w:r w:rsidRPr="00FF7528">
        <w:rPr>
          <w:rFonts w:ascii="Palatino Linotype" w:hAnsi="Palatino Linotype"/>
        </w:rPr>
        <w:t xml:space="preserve">formatos y lo que </w:t>
      </w:r>
      <w:r w:rsidR="008459EE" w:rsidRPr="00FF7528">
        <w:rPr>
          <w:rFonts w:ascii="Palatino Linotype" w:hAnsi="Palatino Linotype"/>
        </w:rPr>
        <w:t xml:space="preserve">actualmente </w:t>
      </w:r>
      <w:r w:rsidRPr="00FF7528">
        <w:rPr>
          <w:rFonts w:ascii="Palatino Linotype" w:hAnsi="Palatino Linotype"/>
        </w:rPr>
        <w:t>mandató la Suprema Corte de Justicia</w:t>
      </w:r>
      <w:r w:rsidR="008459EE" w:rsidRPr="00FF7528">
        <w:rPr>
          <w:rFonts w:ascii="Palatino Linotype" w:hAnsi="Palatino Linotype"/>
        </w:rPr>
        <w:t>,</w:t>
      </w:r>
      <w:r w:rsidRPr="00FF7528">
        <w:rPr>
          <w:rFonts w:ascii="Palatino Linotype" w:hAnsi="Palatino Linotype"/>
        </w:rPr>
        <w:t xml:space="preserve"> es que tenemos que </w:t>
      </w:r>
      <w:r w:rsidR="005C5351" w:rsidRPr="00FF7528">
        <w:rPr>
          <w:rFonts w:ascii="Palatino Linotype" w:hAnsi="Palatino Linotype"/>
        </w:rPr>
        <w:t xml:space="preserve">realizar dicha </w:t>
      </w:r>
      <w:r w:rsidRPr="00FF7528">
        <w:rPr>
          <w:rFonts w:ascii="Palatino Linotype" w:hAnsi="Palatino Linotype"/>
        </w:rPr>
        <w:t>ponderación</w:t>
      </w:r>
      <w:r w:rsidR="00267A2F" w:rsidRPr="00FF7528">
        <w:rPr>
          <w:rFonts w:ascii="Palatino Linotype" w:hAnsi="Palatino Linotype"/>
        </w:rPr>
        <w:t xml:space="preserve">, </w:t>
      </w:r>
      <w:r w:rsidRPr="00FF7528">
        <w:rPr>
          <w:rFonts w:ascii="Palatino Linotype" w:hAnsi="Palatino Linotype"/>
        </w:rPr>
        <w:t xml:space="preserve">situación que merece </w:t>
      </w:r>
      <w:r w:rsidR="00267A2F" w:rsidRPr="00FF7528">
        <w:rPr>
          <w:rFonts w:ascii="Palatino Linotype" w:hAnsi="Palatino Linotype"/>
        </w:rPr>
        <w:t xml:space="preserve">la debida </w:t>
      </w:r>
      <w:r w:rsidRPr="00FF7528">
        <w:rPr>
          <w:rFonts w:ascii="Palatino Linotype" w:hAnsi="Palatino Linotype"/>
        </w:rPr>
        <w:t>atención.</w:t>
      </w:r>
    </w:p>
    <w:p w:rsidR="00394BBA" w:rsidRPr="00FF7528" w:rsidRDefault="00E15FAE" w:rsidP="00D6397F">
      <w:pPr>
        <w:spacing w:before="240" w:after="240" w:line="360" w:lineRule="auto"/>
        <w:jc w:val="both"/>
        <w:rPr>
          <w:rFonts w:ascii="Palatino Linotype" w:hAnsi="Palatino Linotype" w:cs="Arial"/>
          <w:bCs/>
          <w:lang w:eastAsia="es-MX"/>
        </w:rPr>
      </w:pPr>
      <w:r w:rsidRPr="00FF7528">
        <w:rPr>
          <w:rFonts w:ascii="Palatino Linotype" w:hAnsi="Palatino Linotype"/>
        </w:rPr>
        <w:t xml:space="preserve">En ese sentido, como Órgano Garante </w:t>
      </w:r>
      <w:r w:rsidR="00004F50" w:rsidRPr="00FF7528">
        <w:rPr>
          <w:rFonts w:ascii="Palatino Linotype" w:hAnsi="Palatino Linotype"/>
        </w:rPr>
        <w:t>del Estado de México</w:t>
      </w:r>
      <w:r w:rsidR="00975E3E" w:rsidRPr="00FF7528">
        <w:rPr>
          <w:rFonts w:ascii="Palatino Linotype" w:hAnsi="Palatino Linotype"/>
        </w:rPr>
        <w:t xml:space="preserve">, debemos </w:t>
      </w:r>
      <w:r w:rsidRPr="00FF7528">
        <w:rPr>
          <w:rFonts w:ascii="Palatino Linotype" w:hAnsi="Palatino Linotype"/>
        </w:rPr>
        <w:t xml:space="preserve">establecer </w:t>
      </w:r>
      <w:r w:rsidR="00975E3E" w:rsidRPr="00FF7528">
        <w:rPr>
          <w:rFonts w:ascii="Palatino Linotype" w:hAnsi="Palatino Linotype"/>
        </w:rPr>
        <w:t xml:space="preserve">la </w:t>
      </w:r>
      <w:r w:rsidR="00004F50" w:rsidRPr="00FF7528">
        <w:rPr>
          <w:rFonts w:ascii="Palatino Linotype" w:hAnsi="Palatino Linotype"/>
        </w:rPr>
        <w:t>armonía y equilibrio de dos derechos fundamentales</w:t>
      </w:r>
      <w:r w:rsidRPr="00FF7528">
        <w:rPr>
          <w:rFonts w:ascii="Palatino Linotype" w:hAnsi="Palatino Linotype"/>
        </w:rPr>
        <w:t>, por un lado el Acceso a la Información Pública y por el otro la Protección de Datos Personales; es</w:t>
      </w:r>
      <w:r w:rsidR="00004F50" w:rsidRPr="00FF7528">
        <w:rPr>
          <w:rFonts w:ascii="Palatino Linotype" w:hAnsi="Palatino Linotype"/>
        </w:rPr>
        <w:t xml:space="preserve"> clar</w:t>
      </w:r>
      <w:r w:rsidR="00975E3E" w:rsidRPr="00FF7528">
        <w:rPr>
          <w:rFonts w:ascii="Palatino Linotype" w:hAnsi="Palatino Linotype"/>
        </w:rPr>
        <w:t>a</w:t>
      </w:r>
      <w:r w:rsidR="00004F50" w:rsidRPr="00FF7528">
        <w:rPr>
          <w:rFonts w:ascii="Palatino Linotype" w:hAnsi="Palatino Linotype"/>
        </w:rPr>
        <w:t xml:space="preserve"> </w:t>
      </w:r>
      <w:r w:rsidRPr="00FF7528">
        <w:rPr>
          <w:rFonts w:ascii="Palatino Linotype" w:hAnsi="Palatino Linotype"/>
        </w:rPr>
        <w:t xml:space="preserve">la importancia del </w:t>
      </w:r>
      <w:r w:rsidR="00004F50" w:rsidRPr="00FF7528">
        <w:rPr>
          <w:rFonts w:ascii="Palatino Linotype" w:hAnsi="Palatino Linotype"/>
        </w:rPr>
        <w:t xml:space="preserve">escrutinio de lo público, pero no a costa de violentar la privacidad </w:t>
      </w:r>
      <w:r w:rsidR="00975E3E" w:rsidRPr="00FF7528">
        <w:rPr>
          <w:rFonts w:ascii="Palatino Linotype" w:hAnsi="Palatino Linotype"/>
        </w:rPr>
        <w:t>de la persona</w:t>
      </w:r>
      <w:r w:rsidR="00004F50" w:rsidRPr="00FF7528">
        <w:rPr>
          <w:rFonts w:ascii="Palatino Linotype" w:hAnsi="Palatino Linotype"/>
        </w:rPr>
        <w:t xml:space="preserve">, o poner en riesgo </w:t>
      </w:r>
      <w:r w:rsidR="00975E3E" w:rsidRPr="00FF7528">
        <w:rPr>
          <w:rFonts w:ascii="Palatino Linotype" w:hAnsi="Palatino Linotype"/>
        </w:rPr>
        <w:t xml:space="preserve">su </w:t>
      </w:r>
      <w:r w:rsidR="00004F50" w:rsidRPr="00FF7528">
        <w:rPr>
          <w:rFonts w:ascii="Palatino Linotype" w:hAnsi="Palatino Linotype"/>
        </w:rPr>
        <w:t>integridad</w:t>
      </w:r>
      <w:r w:rsidR="00975E3E" w:rsidRPr="00FF7528">
        <w:rPr>
          <w:rFonts w:ascii="Palatino Linotype" w:hAnsi="Palatino Linotype"/>
        </w:rPr>
        <w:t xml:space="preserve">, </w:t>
      </w:r>
      <w:r w:rsidR="00004F50" w:rsidRPr="00FF7528">
        <w:rPr>
          <w:rFonts w:ascii="Palatino Linotype" w:hAnsi="Palatino Linotype"/>
        </w:rPr>
        <w:t xml:space="preserve">porque aunque </w:t>
      </w:r>
      <w:r w:rsidRPr="00FF7528">
        <w:rPr>
          <w:rFonts w:ascii="Palatino Linotype" w:hAnsi="Palatino Linotype"/>
        </w:rPr>
        <w:t xml:space="preserve">se habla de servidores públicos, cuyos datos personales están más </w:t>
      </w:r>
      <w:r w:rsidR="00004F50" w:rsidRPr="00FF7528">
        <w:rPr>
          <w:rFonts w:ascii="Palatino Linotype" w:hAnsi="Palatino Linotype"/>
        </w:rPr>
        <w:t>acotados</w:t>
      </w:r>
      <w:r w:rsidRPr="00FF7528">
        <w:rPr>
          <w:rFonts w:ascii="Palatino Linotype" w:hAnsi="Palatino Linotype"/>
        </w:rPr>
        <w:t xml:space="preserve">, </w:t>
      </w:r>
      <w:r w:rsidR="00004F50" w:rsidRPr="00FF7528">
        <w:rPr>
          <w:rFonts w:ascii="Palatino Linotype" w:hAnsi="Palatino Linotype"/>
        </w:rPr>
        <w:t>sigue prevaleciendo e</w:t>
      </w:r>
      <w:r w:rsidRPr="00FF7528">
        <w:rPr>
          <w:rFonts w:ascii="Palatino Linotype" w:hAnsi="Palatino Linotype"/>
        </w:rPr>
        <w:t xml:space="preserve">l </w:t>
      </w:r>
      <w:r w:rsidR="00004F50" w:rsidRPr="00FF7528">
        <w:rPr>
          <w:rFonts w:ascii="Palatino Linotype" w:hAnsi="Palatino Linotype"/>
        </w:rPr>
        <w:t xml:space="preserve">derecho fundamental a la intimidad. </w:t>
      </w:r>
      <w:r w:rsidR="000D4640" w:rsidRPr="00FF7528">
        <w:rPr>
          <w:rFonts w:ascii="Palatino Linotype" w:hAnsi="Palatino Linotype"/>
        </w:rPr>
        <w:t xml:space="preserve"> </w:t>
      </w:r>
    </w:p>
    <w:p w:rsidR="001860B8" w:rsidRPr="00FF7528" w:rsidRDefault="001860B8" w:rsidP="001860B8">
      <w:pPr>
        <w:spacing w:line="360" w:lineRule="auto"/>
        <w:ind w:right="49"/>
        <w:jc w:val="both"/>
        <w:rPr>
          <w:rFonts w:ascii="Palatino Linotype" w:hAnsi="Palatino Linotype"/>
        </w:rPr>
      </w:pPr>
      <w:r w:rsidRPr="00FF7528">
        <w:rPr>
          <w:rFonts w:ascii="Palatino Linotype" w:hAnsi="Palatino Linotype"/>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FF7528" w:rsidTr="00816290">
        <w:trPr>
          <w:trHeight w:val="809"/>
          <w:jc w:val="center"/>
        </w:trPr>
        <w:tc>
          <w:tcPr>
            <w:tcW w:w="4396" w:type="dxa"/>
          </w:tcPr>
          <w:p w:rsidR="008775F5" w:rsidRPr="00FF7528" w:rsidRDefault="008775F5" w:rsidP="002301FA">
            <w:pPr>
              <w:jc w:val="center"/>
              <w:rPr>
                <w:rFonts w:ascii="Palatino Linotype" w:hAnsi="Palatino Linotype"/>
                <w:b/>
              </w:rPr>
            </w:pPr>
          </w:p>
          <w:p w:rsidR="002301FA" w:rsidRPr="00FF7528" w:rsidRDefault="002301FA" w:rsidP="002301FA">
            <w:pPr>
              <w:jc w:val="center"/>
              <w:rPr>
                <w:rFonts w:ascii="Palatino Linotype" w:hAnsi="Palatino Linotype"/>
                <w:b/>
              </w:rPr>
            </w:pPr>
          </w:p>
          <w:p w:rsidR="008322EE" w:rsidRPr="00FF7528" w:rsidRDefault="008322EE" w:rsidP="008322EE">
            <w:pPr>
              <w:rPr>
                <w:rFonts w:ascii="Palatino Linotype" w:hAnsi="Palatino Linotype"/>
                <w:b/>
              </w:rPr>
            </w:pPr>
          </w:p>
          <w:p w:rsidR="008775F5" w:rsidRPr="00FF7528" w:rsidRDefault="008775F5" w:rsidP="002301FA">
            <w:pPr>
              <w:jc w:val="center"/>
              <w:rPr>
                <w:rFonts w:ascii="Palatino Linotype" w:hAnsi="Palatino Linotype"/>
                <w:b/>
              </w:rPr>
            </w:pPr>
            <w:r w:rsidRPr="00FF7528">
              <w:rPr>
                <w:rFonts w:ascii="Palatino Linotype" w:hAnsi="Palatino Linotype"/>
                <w:b/>
              </w:rPr>
              <w:t>Javier Martínez Cruz</w:t>
            </w:r>
          </w:p>
        </w:tc>
        <w:bookmarkStart w:id="0" w:name="_GoBack"/>
        <w:bookmarkEnd w:id="0"/>
      </w:tr>
      <w:tr w:rsidR="008775F5" w:rsidRPr="00FF7528" w:rsidTr="00816290">
        <w:trPr>
          <w:trHeight w:val="319"/>
          <w:jc w:val="center"/>
        </w:trPr>
        <w:tc>
          <w:tcPr>
            <w:tcW w:w="4396" w:type="dxa"/>
          </w:tcPr>
          <w:p w:rsidR="00050203" w:rsidRPr="00FF7528" w:rsidRDefault="008775F5" w:rsidP="000F26F0">
            <w:pPr>
              <w:jc w:val="center"/>
              <w:rPr>
                <w:rFonts w:ascii="Palatino Linotype" w:hAnsi="Palatino Linotype"/>
              </w:rPr>
            </w:pPr>
            <w:r w:rsidRPr="00FF7528">
              <w:rPr>
                <w:rFonts w:ascii="Palatino Linotype" w:hAnsi="Palatino Linotype"/>
                <w:b/>
              </w:rPr>
              <w:t>Comisionado</w:t>
            </w:r>
          </w:p>
        </w:tc>
      </w:tr>
    </w:tbl>
    <w:p w:rsidR="00056BA4" w:rsidRPr="00FF7528" w:rsidRDefault="00056BA4" w:rsidP="00650E2C">
      <w:pPr>
        <w:spacing w:after="0" w:line="240" w:lineRule="auto"/>
        <w:jc w:val="both"/>
        <w:rPr>
          <w:rFonts w:ascii="Palatino Linotype" w:hAnsi="Palatino Linotype" w:cs="Arial"/>
        </w:rPr>
      </w:pPr>
    </w:p>
    <w:sectPr w:rsidR="00056BA4" w:rsidRPr="00FF7528"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63" w:rsidRDefault="005A0463" w:rsidP="004E7F5E">
      <w:pPr>
        <w:spacing w:after="0" w:line="240" w:lineRule="auto"/>
      </w:pPr>
      <w:r>
        <w:separator/>
      </w:r>
    </w:p>
  </w:endnote>
  <w:endnote w:type="continuationSeparator" w:id="0">
    <w:p w:rsidR="005A0463" w:rsidRDefault="005A0463"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26F0">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26F0">
      <w:rPr>
        <w:rFonts w:ascii="Arial" w:hAnsi="Arial" w:cs="Arial"/>
        <w:b/>
        <w:bCs/>
        <w:noProof/>
        <w:sz w:val="20"/>
        <w:szCs w:val="20"/>
      </w:rPr>
      <w:t>8</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63" w:rsidRDefault="005A0463" w:rsidP="004E7F5E">
      <w:pPr>
        <w:spacing w:after="0" w:line="240" w:lineRule="auto"/>
      </w:pPr>
      <w:r>
        <w:separator/>
      </w:r>
    </w:p>
  </w:footnote>
  <w:footnote w:type="continuationSeparator" w:id="0">
    <w:p w:rsidR="005A0463" w:rsidRDefault="005A0463" w:rsidP="004E7F5E">
      <w:pPr>
        <w:spacing w:after="0" w:line="240" w:lineRule="auto"/>
      </w:pPr>
      <w:r>
        <w:continuationSeparator/>
      </w:r>
    </w:p>
  </w:footnote>
  <w:footnote w:id="1">
    <w:p w:rsidR="00EA2D41" w:rsidRPr="000D43CC" w:rsidRDefault="00EA2D41" w:rsidP="00EA2D41">
      <w:pPr>
        <w:pStyle w:val="Textonotapie"/>
        <w:rPr>
          <w:rFonts w:ascii="Palatino Linotype" w:hAnsi="Palatino Linotype"/>
          <w:sz w:val="18"/>
          <w:szCs w:val="18"/>
        </w:rPr>
      </w:pPr>
      <w:r w:rsidRPr="000D43CC">
        <w:rPr>
          <w:rStyle w:val="Refdenotaalpie"/>
          <w:rFonts w:ascii="Palatino Linotype" w:hAnsi="Palatino Linotype"/>
          <w:sz w:val="18"/>
          <w:szCs w:val="18"/>
        </w:rPr>
        <w:footnoteRef/>
      </w:r>
      <w:r w:rsidRPr="000D43CC">
        <w:rPr>
          <w:rFonts w:ascii="Palatino Linotype" w:hAnsi="Palatino Linotype"/>
          <w:sz w:val="18"/>
          <w:szCs w:val="18"/>
        </w:rPr>
        <w:t xml:space="preserve"> </w:t>
      </w:r>
      <w:r w:rsidRPr="000D43CC">
        <w:rPr>
          <w:rFonts w:ascii="Palatino Linotype" w:eastAsia="MS Mincho" w:hAnsi="Palatino Linotype" w:cs="Times New Roman"/>
          <w:color w:val="000000"/>
          <w:sz w:val="18"/>
          <w:szCs w:val="18"/>
        </w:rPr>
        <w:t>http://cpc.org.mx/declaraciones</w:t>
      </w:r>
    </w:p>
  </w:footnote>
  <w:footnote w:id="2">
    <w:p w:rsidR="00AD7B3A" w:rsidRPr="000D43CC" w:rsidRDefault="00C93943" w:rsidP="00C93943">
      <w:pPr>
        <w:pStyle w:val="Textonotapie"/>
        <w:jc w:val="both"/>
        <w:rPr>
          <w:sz w:val="18"/>
          <w:szCs w:val="18"/>
        </w:rPr>
      </w:pPr>
      <w:r w:rsidRPr="000D43CC">
        <w:rPr>
          <w:rStyle w:val="Refdenotaalpie"/>
          <w:sz w:val="18"/>
          <w:szCs w:val="18"/>
        </w:rPr>
        <w:footnoteRef/>
      </w:r>
      <w:r w:rsidRPr="000D43CC">
        <w:rPr>
          <w:sz w:val="18"/>
          <w:szCs w:val="18"/>
        </w:rPr>
        <w:t xml:space="preserve"> </w:t>
      </w:r>
      <w:r w:rsidR="00AD7B3A" w:rsidRPr="000D43CC">
        <w:rPr>
          <w:rFonts w:ascii="Palatino Linotype" w:hAnsi="Palatino Linotype"/>
          <w:b/>
          <w:i/>
          <w:sz w:val="18"/>
          <w:szCs w:val="18"/>
        </w:rPr>
        <w:t>Ley General de Responsabilidades Administrativas.</w:t>
      </w:r>
    </w:p>
    <w:p w:rsidR="00C93943" w:rsidRPr="000D43CC" w:rsidRDefault="00C93943" w:rsidP="00C93943">
      <w:pPr>
        <w:pStyle w:val="Textonotapie"/>
        <w:jc w:val="both"/>
        <w:rPr>
          <w:rFonts w:ascii="Palatino Linotype" w:hAnsi="Palatino Linotype"/>
          <w:i/>
          <w:sz w:val="18"/>
          <w:szCs w:val="18"/>
        </w:rPr>
      </w:pPr>
      <w:r w:rsidRPr="000D43CC">
        <w:rPr>
          <w:rFonts w:ascii="Palatino Linotype" w:hAnsi="Palatino Linotype"/>
          <w:i/>
          <w:sz w:val="18"/>
          <w:szCs w:val="18"/>
        </w:rPr>
        <w:t>“</w:t>
      </w:r>
      <w:r w:rsidRPr="000D43CC">
        <w:rPr>
          <w:rFonts w:ascii="Palatino Linotype" w:hAnsi="Palatino Linotype"/>
          <w:b/>
          <w:i/>
          <w:sz w:val="18"/>
          <w:szCs w:val="18"/>
        </w:rPr>
        <w:t>Artículo 29</w:t>
      </w:r>
      <w:r w:rsidRPr="000D43CC">
        <w:rPr>
          <w:rFonts w:ascii="Palatino Linotype" w:hAnsi="Palatino Linotype"/>
          <w:i/>
          <w:sz w:val="18"/>
          <w:szCs w:val="18"/>
        </w:rPr>
        <w:t>. 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w:t>
      </w:r>
      <w:r w:rsidRPr="000D43CC">
        <w:rPr>
          <w:rFonts w:ascii="Palatino Linotype" w:hAnsi="Palatino Linotype"/>
          <w:b/>
          <w:i/>
          <w:sz w:val="18"/>
          <w:szCs w:val="18"/>
        </w:rPr>
        <w:t>Artículo 34</w:t>
      </w:r>
      <w:r w:rsidRPr="000D43CC">
        <w:rPr>
          <w:rFonts w:ascii="Palatino Linotype" w:hAnsi="Palatino Linotype"/>
          <w:i/>
          <w:sz w:val="18"/>
          <w:szCs w:val="18"/>
        </w:rPr>
        <w:t>. 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las Secretarías verificar que dichos formatos sean digitalizados e incluir la información que corresponda en el sistema de evolución patrimonial y de declaración de intereses. Las Secretarías tendrán a su cargo el sistema de certificación de los medios de identificación electrónica que utilicen los Servidores Públicos, y llevarán el control de dichos medios.</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Para los 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los Servidores Públicos.</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w:t>
      </w:r>
      <w:r w:rsidRPr="000D43CC">
        <w:rPr>
          <w:rFonts w:ascii="Palatino Linotype" w:hAnsi="Palatino Linotype"/>
          <w:b/>
          <w:i/>
          <w:sz w:val="18"/>
          <w:szCs w:val="18"/>
        </w:rPr>
        <w:t>Artículo 48</w:t>
      </w:r>
      <w:r w:rsidRPr="000D43CC">
        <w:rPr>
          <w:rFonts w:ascii="Palatino Linotype" w:hAnsi="Palatino Linotype"/>
          <w:i/>
          <w:sz w:val="18"/>
          <w:szCs w:val="18"/>
        </w:rPr>
        <w:t>. 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w:t>
      </w:r>
    </w:p>
    <w:p w:rsidR="00AD7B3A" w:rsidRPr="000D43CC" w:rsidRDefault="00AD7B3A" w:rsidP="00AD7B3A">
      <w:pPr>
        <w:pStyle w:val="Textonotapie"/>
        <w:jc w:val="both"/>
        <w:rPr>
          <w:rFonts w:ascii="Palatino Linotype" w:hAnsi="Palatino Linotype"/>
          <w:i/>
          <w:sz w:val="18"/>
          <w:szCs w:val="18"/>
        </w:rPr>
      </w:pPr>
      <w:r w:rsidRPr="000D43CC">
        <w:rPr>
          <w:rFonts w:ascii="Palatino Linotype" w:hAnsi="Palatino Linotype"/>
          <w:i/>
          <w:sz w:val="18"/>
          <w:szCs w:val="18"/>
        </w:rPr>
        <w:t xml:space="preserve">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 </w:t>
      </w:r>
      <w:r w:rsidRPr="000D43CC">
        <w:rPr>
          <w:rFonts w:ascii="Palatino Linotype" w:hAnsi="Palatino Linotype"/>
          <w:i/>
          <w:sz w:val="18"/>
          <w:szCs w:val="18"/>
        </w:rPr>
        <w:cr/>
      </w:r>
    </w:p>
    <w:p w:rsidR="00C93943" w:rsidRPr="000D43CC" w:rsidRDefault="00C93943" w:rsidP="00C93943">
      <w:pPr>
        <w:pStyle w:val="Textonotapie"/>
        <w:jc w:val="both"/>
        <w:rPr>
          <w:rFonts w:ascii="Palatino Linotype" w:hAnsi="Palatino Linotype"/>
          <w:i/>
          <w:sz w:val="18"/>
          <w:szCs w:val="18"/>
        </w:rPr>
      </w:pPr>
    </w:p>
  </w:footnote>
  <w:footnote w:id="3">
    <w:p w:rsidR="00872969" w:rsidRPr="000D43CC" w:rsidRDefault="00390A1D" w:rsidP="00872969">
      <w:pPr>
        <w:pStyle w:val="Textonotapie"/>
        <w:jc w:val="both"/>
        <w:rPr>
          <w:rFonts w:ascii="Palatino Linotype" w:hAnsi="Palatino Linotype"/>
          <w:i/>
          <w:sz w:val="18"/>
          <w:szCs w:val="18"/>
        </w:rPr>
      </w:pPr>
      <w:r w:rsidRPr="000D43CC">
        <w:rPr>
          <w:rStyle w:val="Refdenotaalpie"/>
          <w:sz w:val="18"/>
          <w:szCs w:val="18"/>
        </w:rPr>
        <w:footnoteRef/>
      </w:r>
      <w:r w:rsidRPr="000D43CC">
        <w:rPr>
          <w:sz w:val="18"/>
          <w:szCs w:val="18"/>
        </w:rPr>
        <w:t xml:space="preserve"> </w:t>
      </w:r>
      <w:r w:rsidRPr="00680521">
        <w:rPr>
          <w:rFonts w:ascii="Palatino Linotype" w:hAnsi="Palatino Linotype"/>
          <w:b/>
          <w:i/>
          <w:sz w:val="18"/>
          <w:szCs w:val="18"/>
        </w:rPr>
        <w:t>Versión Estenográfica de la Tercera Sesión Ordinaria del Comité Coordinador del Sistema Nacional Anticorrupción, realizada en el Auditorio “Alonso Lujambio” del edificio sede del Instituto Nacional de Transparencia, Acceso a la Información y Protección de Datos Personales (INAI)., celebrada el día 13 de septiembre de 2018.</w:t>
      </w:r>
      <w:r w:rsidRPr="000D43CC">
        <w:rPr>
          <w:rFonts w:ascii="Palatino Linotype" w:hAnsi="Palatino Linotype"/>
          <w:i/>
          <w:sz w:val="18"/>
          <w:szCs w:val="18"/>
        </w:rPr>
        <w:t xml:space="preserve"> </w:t>
      </w:r>
    </w:p>
    <w:p w:rsidR="00872969" w:rsidRPr="000D43CC" w:rsidRDefault="00872969" w:rsidP="00872969">
      <w:pPr>
        <w:pStyle w:val="Textonotapie"/>
        <w:jc w:val="both"/>
        <w:rPr>
          <w:rFonts w:ascii="Palatino Linotype" w:hAnsi="Palatino Linotype"/>
          <w:i/>
          <w:sz w:val="18"/>
          <w:szCs w:val="18"/>
        </w:rPr>
      </w:pPr>
      <w:r w:rsidRPr="00680521">
        <w:rPr>
          <w:rFonts w:ascii="Palatino Linotype" w:hAnsi="Palatino Linotype"/>
          <w:b/>
          <w:i/>
          <w:sz w:val="18"/>
          <w:szCs w:val="18"/>
        </w:rPr>
        <w:t>Visible en:</w:t>
      </w:r>
      <w:r w:rsidRPr="000D43CC">
        <w:rPr>
          <w:rFonts w:ascii="Palatino Linotype" w:hAnsi="Palatino Linotype"/>
          <w:i/>
          <w:sz w:val="18"/>
          <w:szCs w:val="18"/>
        </w:rPr>
        <w:t xml:space="preserve">  “https://cpc.org.mx/wp-content/uploads/2018/09/Versi%C3%B3n-Estenogr%C3%A1fica-3a.-Sesi%C3%B3n-Ordinaria-del-Comit%C3%A9-Coordinador-SNA.pdf”</w:t>
      </w:r>
    </w:p>
    <w:p w:rsidR="00872969" w:rsidRPr="000D43CC" w:rsidRDefault="00872969" w:rsidP="00872969">
      <w:pPr>
        <w:pStyle w:val="Textonotapie"/>
        <w:rPr>
          <w:rFonts w:ascii="Palatino Linotype" w:hAnsi="Palatino Linotype"/>
          <w:i/>
          <w:sz w:val="18"/>
          <w:szCs w:val="18"/>
        </w:rPr>
      </w:pPr>
    </w:p>
    <w:p w:rsidR="00390A1D" w:rsidRPr="000D43CC" w:rsidRDefault="00390A1D" w:rsidP="002631B7">
      <w:pPr>
        <w:pStyle w:val="Textonotapie"/>
        <w:jc w:val="both"/>
        <w:rPr>
          <w:rFonts w:ascii="Palatino Linotype" w:hAnsi="Palatino Linotype"/>
          <w:i/>
          <w:sz w:val="18"/>
          <w:szCs w:val="18"/>
        </w:rPr>
      </w:pPr>
      <w:r w:rsidRPr="000D43CC">
        <w:rPr>
          <w:rFonts w:ascii="Palatino Linotype" w:hAnsi="Palatino Linotype"/>
          <w:i/>
          <w:sz w:val="18"/>
          <w:szCs w:val="18"/>
        </w:rPr>
        <w:t>“</w:t>
      </w:r>
      <w:r w:rsidRPr="000D43CC">
        <w:rPr>
          <w:rFonts w:ascii="Palatino Linotype" w:hAnsi="Palatino Linotype"/>
          <w:b/>
          <w:i/>
          <w:sz w:val="18"/>
          <w:szCs w:val="18"/>
        </w:rPr>
        <w:t>Dr. Francisco Javier Acuña Llamas</w:t>
      </w:r>
      <w:r w:rsidRPr="000D43CC">
        <w:rPr>
          <w:rFonts w:ascii="Palatino Linotype" w:hAnsi="Palatino Linotype"/>
          <w:i/>
          <w:sz w:val="18"/>
          <w:szCs w:val="18"/>
        </w:rPr>
        <w:t xml:space="preserve">: Una vez más aquí ofrezco una divergencia en tanto que por la solución aquí dividida del Pleno del INAI, no fue mayoritaria en una solución 4 a 3, prevaleció que en la línea argumental y siendo además la máxima autoridad en la protección de datos personales a nivel administrativo en el país, y siendo además la máxima autoridad nacional en materia de transparencia, en una ponderación prevalecía el interés público de precisamente abarcar la publicidad de los bienes de familiares, de cónyuge, de hijos, de concubinarios.  </w:t>
      </w:r>
    </w:p>
    <w:p w:rsidR="00390A1D" w:rsidRPr="000D43CC" w:rsidRDefault="00390A1D" w:rsidP="002631B7">
      <w:pPr>
        <w:pStyle w:val="Textonotapie"/>
        <w:jc w:val="both"/>
        <w:rPr>
          <w:rFonts w:ascii="Palatino Linotype" w:hAnsi="Palatino Linotype"/>
          <w:i/>
          <w:sz w:val="18"/>
          <w:szCs w:val="18"/>
        </w:rPr>
      </w:pPr>
      <w:r w:rsidRPr="000D43CC">
        <w:rPr>
          <w:rFonts w:ascii="Palatino Linotype" w:hAnsi="Palatino Linotype"/>
          <w:i/>
          <w:sz w:val="18"/>
          <w:szCs w:val="18"/>
        </w:rPr>
        <w:t>De esta suerte nos apartamos de ese matiz. Hacemos matiz diciendo que los bienes de personas, terceros directos o indirectos sí deben tener carácter público.” (Hoja 57)</w:t>
      </w:r>
    </w:p>
    <w:p w:rsidR="00872969" w:rsidRPr="000D43CC" w:rsidRDefault="00872969" w:rsidP="002631B7">
      <w:pPr>
        <w:pStyle w:val="Textonotapie"/>
        <w:jc w:val="both"/>
        <w:rPr>
          <w:rFonts w:ascii="Palatino Linotype" w:hAnsi="Palatino Linotype"/>
          <w:i/>
          <w:sz w:val="18"/>
          <w:szCs w:val="18"/>
        </w:rPr>
      </w:pPr>
    </w:p>
  </w:footnote>
  <w:footnote w:id="4">
    <w:p w:rsidR="002631B7" w:rsidRPr="000D43CC" w:rsidRDefault="002631B7" w:rsidP="002631B7">
      <w:pPr>
        <w:pStyle w:val="Textonotapie"/>
        <w:jc w:val="both"/>
        <w:rPr>
          <w:rFonts w:ascii="Palatino Linotype" w:hAnsi="Palatino Linotype"/>
          <w:i/>
          <w:sz w:val="18"/>
          <w:szCs w:val="18"/>
        </w:rPr>
      </w:pPr>
      <w:r w:rsidRPr="000D43CC">
        <w:rPr>
          <w:rStyle w:val="Refdenotaalpie"/>
          <w:sz w:val="18"/>
          <w:szCs w:val="18"/>
        </w:rPr>
        <w:footnoteRef/>
      </w:r>
      <w:r w:rsidRPr="000D43CC">
        <w:rPr>
          <w:sz w:val="18"/>
          <w:szCs w:val="18"/>
        </w:rPr>
        <w:t xml:space="preserve"> “</w:t>
      </w:r>
      <w:r w:rsidRPr="000D43CC">
        <w:rPr>
          <w:rFonts w:ascii="Palatino Linotype" w:hAnsi="Palatino Linotype"/>
          <w:b/>
          <w:i/>
          <w:sz w:val="18"/>
          <w:szCs w:val="18"/>
        </w:rPr>
        <w:t>Dr. Francisco Javier Acuña Llamas</w:t>
      </w:r>
      <w:r w:rsidRPr="000D43CC">
        <w:rPr>
          <w:rFonts w:ascii="Palatino Linotype" w:hAnsi="Palatino Linotype"/>
          <w:i/>
          <w:sz w:val="18"/>
          <w:szCs w:val="18"/>
        </w:rPr>
        <w:t xml:space="preserve">: Solicito la palabra. </w:t>
      </w:r>
    </w:p>
    <w:p w:rsidR="002631B7" w:rsidRPr="000D43CC" w:rsidRDefault="002631B7" w:rsidP="002631B7">
      <w:pPr>
        <w:pStyle w:val="Textonotapie"/>
        <w:jc w:val="both"/>
        <w:rPr>
          <w:rFonts w:ascii="Palatino Linotype" w:hAnsi="Palatino Linotype"/>
          <w:i/>
          <w:sz w:val="18"/>
          <w:szCs w:val="18"/>
        </w:rPr>
      </w:pPr>
      <w:r w:rsidRPr="000D43CC">
        <w:rPr>
          <w:rFonts w:ascii="Palatino Linotype" w:hAnsi="Palatino Linotype"/>
          <w:i/>
          <w:sz w:val="18"/>
          <w:szCs w:val="18"/>
        </w:rPr>
        <w:t xml:space="preserve">Con la venia de la Presidenta y de todos mis compañeros del Comité. </w:t>
      </w:r>
    </w:p>
    <w:p w:rsidR="002631B7" w:rsidRPr="000D43CC" w:rsidRDefault="002631B7" w:rsidP="002631B7">
      <w:pPr>
        <w:pStyle w:val="Textonotapie"/>
        <w:jc w:val="both"/>
        <w:rPr>
          <w:rFonts w:ascii="Palatino Linotype" w:hAnsi="Palatino Linotype"/>
          <w:i/>
          <w:sz w:val="18"/>
          <w:szCs w:val="18"/>
        </w:rPr>
      </w:pPr>
      <w:r w:rsidRPr="000D43CC">
        <w:rPr>
          <w:rFonts w:ascii="Palatino Linotype" w:hAnsi="Palatino Linotype"/>
          <w:i/>
          <w:sz w:val="18"/>
          <w:szCs w:val="18"/>
        </w:rPr>
        <w:t xml:space="preserve">Coordinador, el INAI por una determinación del Pleno, asumida en sesión pública del 29 de junio de este año, sostiene en esta sesión la aportación o la sugerencia, la propuesta para añadir 117 campos adicionales a los 555 que compone o en que consiste la propuesta originaria, la propuesta que además es base del acuerdo a discutir que propuso el CPC en un trabajo laborioso y de gran calidad, pero en una reflexión de los siete Comisionados optamos por proponer 117 campos nuevos, adicionales y 200 más que se forman no de ser nuevos en sí mismos, sino de la desagregación del resto, en total arribando a una solución de 863 campos en lugar de los 555, que respetamos enteramente. </w:t>
      </w:r>
    </w:p>
    <w:p w:rsidR="002631B7" w:rsidRPr="000D43CC" w:rsidRDefault="002631B7" w:rsidP="002631B7">
      <w:pPr>
        <w:pStyle w:val="Textonotapie"/>
        <w:jc w:val="both"/>
        <w:rPr>
          <w:rFonts w:ascii="Palatino Linotype" w:hAnsi="Palatino Linotype"/>
          <w:i/>
          <w:sz w:val="18"/>
          <w:szCs w:val="18"/>
        </w:rPr>
      </w:pPr>
      <w:r w:rsidRPr="000D43CC">
        <w:rPr>
          <w:rFonts w:ascii="Palatino Linotype" w:hAnsi="Palatino Linotype"/>
          <w:i/>
          <w:sz w:val="18"/>
          <w:szCs w:val="18"/>
        </w:rPr>
        <w:t>Esta es una apreciación de formulación en cuanto a la fisonomía de los formatos, dejando ahí el espíritu de una vocación de concurrencia en el voto que al respecto daremos.</w:t>
      </w:r>
      <w:r w:rsidR="00386108" w:rsidRPr="000D43CC">
        <w:rPr>
          <w:rFonts w:ascii="Palatino Linotype" w:hAnsi="Palatino Linotype"/>
          <w:i/>
          <w:sz w:val="18"/>
          <w:szCs w:val="18"/>
        </w:rPr>
        <w:t>”(Hojas 44 y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A046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5A0463"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03078</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A046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1"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1"/>
  </w:num>
  <w:num w:numId="7">
    <w:abstractNumId w:val="12"/>
  </w:num>
  <w:num w:numId="8">
    <w:abstractNumId w:val="3"/>
  </w:num>
  <w:num w:numId="9">
    <w:abstractNumId w:val="10"/>
  </w:num>
  <w:num w:numId="10">
    <w:abstractNumId w:val="9"/>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582B"/>
    <w:rsid w:val="000B106B"/>
    <w:rsid w:val="000C390D"/>
    <w:rsid w:val="000C56D0"/>
    <w:rsid w:val="000C5730"/>
    <w:rsid w:val="000C5B64"/>
    <w:rsid w:val="000D14F0"/>
    <w:rsid w:val="000D3D02"/>
    <w:rsid w:val="000D43CC"/>
    <w:rsid w:val="000D440E"/>
    <w:rsid w:val="000D4640"/>
    <w:rsid w:val="000D5073"/>
    <w:rsid w:val="000D5AD7"/>
    <w:rsid w:val="000E07A9"/>
    <w:rsid w:val="000E3756"/>
    <w:rsid w:val="000E47AB"/>
    <w:rsid w:val="000E4F5E"/>
    <w:rsid w:val="000E4FD5"/>
    <w:rsid w:val="000E5652"/>
    <w:rsid w:val="000E6F9C"/>
    <w:rsid w:val="000E743E"/>
    <w:rsid w:val="000E7C2C"/>
    <w:rsid w:val="000F17E0"/>
    <w:rsid w:val="000F189B"/>
    <w:rsid w:val="000F26F0"/>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F02"/>
    <w:rsid w:val="001860B8"/>
    <w:rsid w:val="00194E9A"/>
    <w:rsid w:val="0019565B"/>
    <w:rsid w:val="00197702"/>
    <w:rsid w:val="001A1018"/>
    <w:rsid w:val="001A155B"/>
    <w:rsid w:val="001A200B"/>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3392"/>
    <w:rsid w:val="00203D6F"/>
    <w:rsid w:val="0020670F"/>
    <w:rsid w:val="00206DA6"/>
    <w:rsid w:val="00207FE6"/>
    <w:rsid w:val="00210753"/>
    <w:rsid w:val="00214F41"/>
    <w:rsid w:val="002156F4"/>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CFE"/>
    <w:rsid w:val="00261495"/>
    <w:rsid w:val="00261762"/>
    <w:rsid w:val="00261B1F"/>
    <w:rsid w:val="0026218D"/>
    <w:rsid w:val="002631B7"/>
    <w:rsid w:val="00264035"/>
    <w:rsid w:val="002647AD"/>
    <w:rsid w:val="002659B1"/>
    <w:rsid w:val="00267A2F"/>
    <w:rsid w:val="00267D51"/>
    <w:rsid w:val="00271037"/>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108"/>
    <w:rsid w:val="00386D79"/>
    <w:rsid w:val="0039073D"/>
    <w:rsid w:val="00390A1D"/>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2717"/>
    <w:rsid w:val="003C55B3"/>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5983"/>
    <w:rsid w:val="004265F4"/>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351"/>
    <w:rsid w:val="005C5788"/>
    <w:rsid w:val="005C6771"/>
    <w:rsid w:val="005C7FFC"/>
    <w:rsid w:val="005D571A"/>
    <w:rsid w:val="005D7711"/>
    <w:rsid w:val="005E385C"/>
    <w:rsid w:val="005E440C"/>
    <w:rsid w:val="005E61BD"/>
    <w:rsid w:val="005E6525"/>
    <w:rsid w:val="005E7968"/>
    <w:rsid w:val="005E7E37"/>
    <w:rsid w:val="005F048A"/>
    <w:rsid w:val="005F3AA9"/>
    <w:rsid w:val="005F6A08"/>
    <w:rsid w:val="005F7076"/>
    <w:rsid w:val="00601212"/>
    <w:rsid w:val="00603C38"/>
    <w:rsid w:val="00606DDB"/>
    <w:rsid w:val="00606E96"/>
    <w:rsid w:val="006108CE"/>
    <w:rsid w:val="00611681"/>
    <w:rsid w:val="00611952"/>
    <w:rsid w:val="00611DF2"/>
    <w:rsid w:val="006151E7"/>
    <w:rsid w:val="00616274"/>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7B95"/>
    <w:rsid w:val="0067147B"/>
    <w:rsid w:val="00671D19"/>
    <w:rsid w:val="006736DB"/>
    <w:rsid w:val="0067562A"/>
    <w:rsid w:val="00676933"/>
    <w:rsid w:val="0067791C"/>
    <w:rsid w:val="00680521"/>
    <w:rsid w:val="006827F2"/>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42E5"/>
    <w:rsid w:val="006E0AEC"/>
    <w:rsid w:val="006E255A"/>
    <w:rsid w:val="006E2A9B"/>
    <w:rsid w:val="006E2BFD"/>
    <w:rsid w:val="006E34B8"/>
    <w:rsid w:val="006E3A08"/>
    <w:rsid w:val="006E4397"/>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2413"/>
    <w:rsid w:val="00794B8C"/>
    <w:rsid w:val="00797361"/>
    <w:rsid w:val="007A18E4"/>
    <w:rsid w:val="007A277F"/>
    <w:rsid w:val="007A4602"/>
    <w:rsid w:val="007A7BF6"/>
    <w:rsid w:val="007B10BA"/>
    <w:rsid w:val="007B1FFA"/>
    <w:rsid w:val="007B3391"/>
    <w:rsid w:val="007B41CD"/>
    <w:rsid w:val="007B66D8"/>
    <w:rsid w:val="007B69EA"/>
    <w:rsid w:val="007C1EE2"/>
    <w:rsid w:val="007C6FF1"/>
    <w:rsid w:val="007D2C55"/>
    <w:rsid w:val="007D667D"/>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459EE"/>
    <w:rsid w:val="008516F2"/>
    <w:rsid w:val="00852329"/>
    <w:rsid w:val="00854AC4"/>
    <w:rsid w:val="00857730"/>
    <w:rsid w:val="00863B81"/>
    <w:rsid w:val="00866BB2"/>
    <w:rsid w:val="00870442"/>
    <w:rsid w:val="00872969"/>
    <w:rsid w:val="008729B1"/>
    <w:rsid w:val="00873A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4FC0"/>
    <w:rsid w:val="008C69F7"/>
    <w:rsid w:val="008C6C73"/>
    <w:rsid w:val="008D17AF"/>
    <w:rsid w:val="008D4C93"/>
    <w:rsid w:val="008D6D23"/>
    <w:rsid w:val="008E228A"/>
    <w:rsid w:val="008E3C18"/>
    <w:rsid w:val="008E425D"/>
    <w:rsid w:val="008E4F87"/>
    <w:rsid w:val="008E6760"/>
    <w:rsid w:val="008F1B97"/>
    <w:rsid w:val="008F3EE4"/>
    <w:rsid w:val="008F56F1"/>
    <w:rsid w:val="008F726A"/>
    <w:rsid w:val="0090073F"/>
    <w:rsid w:val="0090404B"/>
    <w:rsid w:val="00904807"/>
    <w:rsid w:val="0090690F"/>
    <w:rsid w:val="00906932"/>
    <w:rsid w:val="00910B6C"/>
    <w:rsid w:val="009130B9"/>
    <w:rsid w:val="009171CB"/>
    <w:rsid w:val="00917FB4"/>
    <w:rsid w:val="00921880"/>
    <w:rsid w:val="0092406A"/>
    <w:rsid w:val="00924E3B"/>
    <w:rsid w:val="009273D1"/>
    <w:rsid w:val="00931BB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47CA"/>
    <w:rsid w:val="009653EB"/>
    <w:rsid w:val="0096766D"/>
    <w:rsid w:val="00967754"/>
    <w:rsid w:val="009678C0"/>
    <w:rsid w:val="0097063B"/>
    <w:rsid w:val="00970B36"/>
    <w:rsid w:val="0097210F"/>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7044"/>
    <w:rsid w:val="009D0F4D"/>
    <w:rsid w:val="009D4FB8"/>
    <w:rsid w:val="009E2E04"/>
    <w:rsid w:val="009E3486"/>
    <w:rsid w:val="009E5C1B"/>
    <w:rsid w:val="009E6743"/>
    <w:rsid w:val="009F1F01"/>
    <w:rsid w:val="009F50E8"/>
    <w:rsid w:val="009F7246"/>
    <w:rsid w:val="009F7D1D"/>
    <w:rsid w:val="00A0047B"/>
    <w:rsid w:val="00A053DB"/>
    <w:rsid w:val="00A06331"/>
    <w:rsid w:val="00A06DA1"/>
    <w:rsid w:val="00A07710"/>
    <w:rsid w:val="00A14F6A"/>
    <w:rsid w:val="00A15929"/>
    <w:rsid w:val="00A21DC0"/>
    <w:rsid w:val="00A25334"/>
    <w:rsid w:val="00A26654"/>
    <w:rsid w:val="00A3259E"/>
    <w:rsid w:val="00A33997"/>
    <w:rsid w:val="00A33A99"/>
    <w:rsid w:val="00A35FBC"/>
    <w:rsid w:val="00A406BA"/>
    <w:rsid w:val="00A40ADA"/>
    <w:rsid w:val="00A4315D"/>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3D18"/>
    <w:rsid w:val="00AF0C8A"/>
    <w:rsid w:val="00AF137F"/>
    <w:rsid w:val="00AF19FD"/>
    <w:rsid w:val="00AF61C2"/>
    <w:rsid w:val="00AF7A99"/>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257B"/>
    <w:rsid w:val="00BA6D9D"/>
    <w:rsid w:val="00BA72D7"/>
    <w:rsid w:val="00BC1231"/>
    <w:rsid w:val="00BC2CA8"/>
    <w:rsid w:val="00BC425B"/>
    <w:rsid w:val="00BC4788"/>
    <w:rsid w:val="00BC6AC0"/>
    <w:rsid w:val="00BC6CAA"/>
    <w:rsid w:val="00BC7474"/>
    <w:rsid w:val="00BD0B9F"/>
    <w:rsid w:val="00BD2482"/>
    <w:rsid w:val="00BD40F9"/>
    <w:rsid w:val="00BE3097"/>
    <w:rsid w:val="00BE5589"/>
    <w:rsid w:val="00BE5877"/>
    <w:rsid w:val="00BE5AD0"/>
    <w:rsid w:val="00BF09AE"/>
    <w:rsid w:val="00BF34FC"/>
    <w:rsid w:val="00BF39F9"/>
    <w:rsid w:val="00BF3ECA"/>
    <w:rsid w:val="00BF688C"/>
    <w:rsid w:val="00BF72ED"/>
    <w:rsid w:val="00BF7555"/>
    <w:rsid w:val="00C00387"/>
    <w:rsid w:val="00C01EFF"/>
    <w:rsid w:val="00C024AB"/>
    <w:rsid w:val="00C02FC6"/>
    <w:rsid w:val="00C03B35"/>
    <w:rsid w:val="00C041F2"/>
    <w:rsid w:val="00C05456"/>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783F"/>
    <w:rsid w:val="00CB7F56"/>
    <w:rsid w:val="00CC10B2"/>
    <w:rsid w:val="00CC27D2"/>
    <w:rsid w:val="00CC291D"/>
    <w:rsid w:val="00CC2A00"/>
    <w:rsid w:val="00CC38B9"/>
    <w:rsid w:val="00CC4037"/>
    <w:rsid w:val="00CC5522"/>
    <w:rsid w:val="00CC65C4"/>
    <w:rsid w:val="00CC6F0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6FB6"/>
    <w:rsid w:val="00D7031D"/>
    <w:rsid w:val="00D71B39"/>
    <w:rsid w:val="00D75ED1"/>
    <w:rsid w:val="00D82F11"/>
    <w:rsid w:val="00D84E60"/>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492B"/>
    <w:rsid w:val="00DD5688"/>
    <w:rsid w:val="00DE22FA"/>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F0D"/>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E08B-6F37-4FCD-9A2D-986575A2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1832</Words>
  <Characters>10078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51</cp:revision>
  <cp:lastPrinted>2018-10-15T18:06:00Z</cp:lastPrinted>
  <dcterms:created xsi:type="dcterms:W3CDTF">2018-10-15T16:06:00Z</dcterms:created>
  <dcterms:modified xsi:type="dcterms:W3CDTF">2018-10-16T23:15:00Z</dcterms:modified>
</cp:coreProperties>
</file>